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FC9D" w14:textId="773A5F8D" w:rsidR="001E7C30" w:rsidRDefault="00FF394B" w:rsidP="00745656">
      <w:pPr>
        <w:pStyle w:val="Heading1"/>
        <w:spacing w:before="0" w:after="0"/>
        <w:rPr>
          <w:rFonts w:ascii="Calibri" w:hAnsi="Calibri" w:cs="Calibri"/>
          <w:color w:val="4B847D"/>
        </w:rPr>
      </w:pPr>
      <w:r w:rsidRPr="009346EF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1BB15" wp14:editId="0A4F1EFB">
                <wp:simplePos x="0" y="0"/>
                <wp:positionH relativeFrom="leftMargin">
                  <wp:posOffset>-421640</wp:posOffset>
                </wp:positionH>
                <wp:positionV relativeFrom="page">
                  <wp:posOffset>1228090</wp:posOffset>
                </wp:positionV>
                <wp:extent cx="2585720" cy="1362075"/>
                <wp:effectExtent l="0" t="0" r="5080" b="9525"/>
                <wp:wrapSquare wrapText="bothSides"/>
                <wp:docPr id="2" name="Text Box 2" title="Volume and 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6A775" w14:textId="77777777" w:rsidR="009346EF" w:rsidRDefault="00FF394B" w:rsidP="00FB4C42">
                            <w:pPr>
                              <w:pStyle w:val="Subtitle"/>
                              <w:rPr>
                                <w:rFonts w:ascii="Calibri" w:hAnsi="Calibri" w:cs="Calibri"/>
                                <w:b/>
                                <w:color w:val="4A66AC" w:themeColor="accent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46EF">
                              <w:rPr>
                                <w:rFonts w:ascii="Calibri" w:hAnsi="Calibri" w:cs="Calibri"/>
                                <w:b/>
                                <w:color w:val="4A66AC" w:themeColor="accent1"/>
                                <w:sz w:val="28"/>
                                <w:szCs w:val="28"/>
                                <w:lang w:eastAsia="zh-CN"/>
                              </w:rPr>
                              <w:t xml:space="preserve">1Q </w:t>
                            </w:r>
                            <w:r w:rsidR="00BB512E" w:rsidRPr="009346EF">
                              <w:rPr>
                                <w:rFonts w:ascii="Calibri" w:hAnsi="Calibri" w:cs="Calibri"/>
                                <w:b/>
                                <w:color w:val="4A66AC" w:themeColor="accent1"/>
                                <w:sz w:val="28"/>
                                <w:szCs w:val="28"/>
                                <w:lang w:eastAsia="zh-CN"/>
                              </w:rPr>
                              <w:t>2026</w:t>
                            </w:r>
                            <w:r w:rsidR="009346EF">
                              <w:rPr>
                                <w:rFonts w:ascii="Calibri" w:hAnsi="Calibri" w:cs="Calibri"/>
                                <w:b/>
                                <w:color w:val="4A66AC" w:themeColor="accent1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="00BB512E" w:rsidRPr="009346EF">
                              <w:rPr>
                                <w:rFonts w:ascii="Calibri" w:hAnsi="Calibri" w:cs="Calibri"/>
                                <w:b/>
                                <w:color w:val="4A66AC" w:themeColor="accent1"/>
                                <w:sz w:val="28"/>
                                <w:szCs w:val="28"/>
                                <w:lang w:eastAsia="zh-CN"/>
                              </w:rPr>
                              <w:t>M&amp;A</w:t>
                            </w:r>
                          </w:p>
                          <w:p w14:paraId="6394BA6C" w14:textId="7472FE67" w:rsidR="00BB512E" w:rsidRPr="009346EF" w:rsidRDefault="009346EF" w:rsidP="00FB4C42">
                            <w:pPr>
                              <w:pStyle w:val="Subtitle"/>
                              <w:rPr>
                                <w:rFonts w:ascii="Calibri" w:hAnsi="Calibri" w:cs="Calibri"/>
                                <w:b/>
                                <w:color w:val="4A66AC" w:themeColor="accent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A66AC" w:themeColor="accent1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="00BB512E" w:rsidRPr="009346EF">
                              <w:rPr>
                                <w:rFonts w:ascii="Calibri" w:hAnsi="Calibri" w:cs="Calibri"/>
                                <w:b/>
                                <w:color w:val="4A66AC" w:themeColor="accent1"/>
                                <w:sz w:val="28"/>
                                <w:szCs w:val="28"/>
                                <w:lang w:eastAsia="zh-CN"/>
                              </w:rPr>
                              <w:t xml:space="preserve">Market </w:t>
                            </w:r>
                            <w:r w:rsidR="00FF394B" w:rsidRPr="009346EF">
                              <w:rPr>
                                <w:rFonts w:ascii="Calibri" w:hAnsi="Calibri" w:cs="Calibri"/>
                                <w:b/>
                                <w:color w:val="4A66AC" w:themeColor="accent1"/>
                                <w:sz w:val="28"/>
                                <w:szCs w:val="28"/>
                                <w:lang w:eastAsia="zh-CN"/>
                              </w:rPr>
                              <w:t>Update</w:t>
                            </w:r>
                          </w:p>
                          <w:p w14:paraId="06E238BF" w14:textId="0AE39EA0" w:rsidR="00A433D3" w:rsidRPr="007D56FF" w:rsidRDefault="005871DC" w:rsidP="00FB4C42">
                            <w:pPr>
                              <w:pStyle w:val="Subtitle"/>
                              <w:rPr>
                                <w:rFonts w:ascii="Calibri" w:hAnsi="Calibri" w:cs="Calibri"/>
                                <w:b/>
                                <w:color w:val="4B847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B847D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</w:p>
                          <w:p w14:paraId="09733039" w14:textId="46CBB49C" w:rsidR="00130127" w:rsidRPr="00421DCE" w:rsidRDefault="00130127" w:rsidP="00BE2D8C">
                            <w:pPr>
                              <w:pStyle w:val="Subtitle"/>
                              <w:rPr>
                                <w:rFonts w:ascii="Calibri" w:hAnsi="Calibri" w:cs="Calibri"/>
                                <w:b/>
                                <w:color w:val="4B847D"/>
                              </w:rPr>
                            </w:pPr>
                          </w:p>
                          <w:p w14:paraId="230DB574" w14:textId="220F4538" w:rsidR="00130127" w:rsidRPr="00421DCE" w:rsidRDefault="00130127" w:rsidP="00F34D71">
                            <w:pPr>
                              <w:pStyle w:val="Subtitle"/>
                              <w:rPr>
                                <w:rFonts w:ascii="Calibri" w:hAnsi="Calibri" w:cs="Calibri"/>
                                <w:b/>
                                <w:color w:val="4B847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228600" rIns="146304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1BB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Volume and date" style="position:absolute;margin-left:-33.2pt;margin-top:96.7pt;width:203.6pt;height:107.2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" fillcolor="white [3201]" stroked="f" strokeweight=".5pt">
                <v:textbox inset="36pt,18pt,11.52pt,7.2pt">
                  <w:txbxContent>
                    <w:p w14:paraId="7A96A775" w14:textId="77777777" w:rsidR="009346EF" w:rsidRDefault="00FF394B" w:rsidP="00FB4C42">
                      <w:pPr>
                        <w:pStyle w:val="Subtitle"/>
                        <w:rPr>
                          <w:rFonts w:ascii="Calibri" w:hAnsi="Calibri" w:cs="Calibri"/>
                          <w:b/>
                          <w:color w:val="4A66AC" w:themeColor="accent1"/>
                          <w:sz w:val="28"/>
                          <w:szCs w:val="28"/>
                          <w:lang w:eastAsia="zh-CN"/>
                        </w:rPr>
                      </w:pPr>
                      <w:r w:rsidRPr="009346EF">
                        <w:rPr>
                          <w:rFonts w:ascii="Calibri" w:hAnsi="Calibri" w:cs="Calibri"/>
                          <w:b/>
                          <w:color w:val="4A66AC" w:themeColor="accent1"/>
                          <w:sz w:val="28"/>
                          <w:szCs w:val="28"/>
                          <w:lang w:eastAsia="zh-CN"/>
                        </w:rPr>
                        <w:t xml:space="preserve">1Q </w:t>
                      </w:r>
                      <w:r w:rsidR="00BB512E" w:rsidRPr="009346EF">
                        <w:rPr>
                          <w:rFonts w:ascii="Calibri" w:hAnsi="Calibri" w:cs="Calibri"/>
                          <w:b/>
                          <w:color w:val="4A66AC" w:themeColor="accent1"/>
                          <w:sz w:val="28"/>
                          <w:szCs w:val="28"/>
                          <w:lang w:eastAsia="zh-CN"/>
                        </w:rPr>
                        <w:t>2026</w:t>
                      </w:r>
                      <w:r w:rsidR="009346EF">
                        <w:rPr>
                          <w:rFonts w:ascii="Calibri" w:hAnsi="Calibri" w:cs="Calibri"/>
                          <w:b/>
                          <w:color w:val="4A66AC" w:themeColor="accent1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="00BB512E" w:rsidRPr="009346EF">
                        <w:rPr>
                          <w:rFonts w:ascii="Calibri" w:hAnsi="Calibri" w:cs="Calibri"/>
                          <w:b/>
                          <w:color w:val="4A66AC" w:themeColor="accent1"/>
                          <w:sz w:val="28"/>
                          <w:szCs w:val="28"/>
                          <w:lang w:eastAsia="zh-CN"/>
                        </w:rPr>
                        <w:t>M&amp;A</w:t>
                      </w:r>
                    </w:p>
                    <w:p w14:paraId="6394BA6C" w14:textId="7472FE67" w:rsidR="00BB512E" w:rsidRPr="009346EF" w:rsidRDefault="009346EF" w:rsidP="00FB4C42">
                      <w:pPr>
                        <w:pStyle w:val="Subtitle"/>
                        <w:rPr>
                          <w:rFonts w:ascii="Calibri" w:hAnsi="Calibri" w:cs="Calibri"/>
                          <w:b/>
                          <w:color w:val="4A66AC" w:themeColor="accent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A66AC" w:themeColor="accent1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="00BB512E" w:rsidRPr="009346EF">
                        <w:rPr>
                          <w:rFonts w:ascii="Calibri" w:hAnsi="Calibri" w:cs="Calibri"/>
                          <w:b/>
                          <w:color w:val="4A66AC" w:themeColor="accent1"/>
                          <w:sz w:val="28"/>
                          <w:szCs w:val="28"/>
                          <w:lang w:eastAsia="zh-CN"/>
                        </w:rPr>
                        <w:t xml:space="preserve">Market </w:t>
                      </w:r>
                      <w:r w:rsidR="00FF394B" w:rsidRPr="009346EF">
                        <w:rPr>
                          <w:rFonts w:ascii="Calibri" w:hAnsi="Calibri" w:cs="Calibri"/>
                          <w:b/>
                          <w:color w:val="4A66AC" w:themeColor="accent1"/>
                          <w:sz w:val="28"/>
                          <w:szCs w:val="28"/>
                          <w:lang w:eastAsia="zh-CN"/>
                        </w:rPr>
                        <w:t>Update</w:t>
                      </w:r>
                    </w:p>
                    <w:p w14:paraId="06E238BF" w14:textId="0AE39EA0" w:rsidR="00A433D3" w:rsidRPr="007D56FF" w:rsidRDefault="005871DC" w:rsidP="00FB4C42">
                      <w:pPr>
                        <w:pStyle w:val="Subtitle"/>
                        <w:rPr>
                          <w:rFonts w:ascii="Calibri" w:hAnsi="Calibri" w:cs="Calibri"/>
                          <w:b/>
                          <w:color w:val="4B847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B847D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</w:p>
                    <w:p w14:paraId="09733039" w14:textId="46CBB49C" w:rsidR="00130127" w:rsidRPr="00421DCE" w:rsidRDefault="00130127" w:rsidP="00BE2D8C">
                      <w:pPr>
                        <w:pStyle w:val="Subtitle"/>
                        <w:rPr>
                          <w:rFonts w:ascii="Calibri" w:hAnsi="Calibri" w:cs="Calibri"/>
                          <w:b/>
                          <w:color w:val="4B847D"/>
                        </w:rPr>
                      </w:pPr>
                    </w:p>
                    <w:p w14:paraId="230DB574" w14:textId="220F4538" w:rsidR="00130127" w:rsidRPr="00421DCE" w:rsidRDefault="00130127" w:rsidP="00F34D71">
                      <w:pPr>
                        <w:pStyle w:val="Subtitle"/>
                        <w:rPr>
                          <w:rFonts w:ascii="Calibri" w:hAnsi="Calibri" w:cs="Calibri"/>
                          <w:b/>
                          <w:color w:val="4B847D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B1977" w:rsidRPr="009346E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C8F19" wp14:editId="053B1429">
                <wp:simplePos x="0" y="0"/>
                <wp:positionH relativeFrom="margin">
                  <wp:align>left</wp:align>
                </wp:positionH>
                <wp:positionV relativeFrom="paragraph">
                  <wp:posOffset>1003618</wp:posOffset>
                </wp:positionV>
                <wp:extent cx="5029200" cy="11620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162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0297B" w14:textId="40BD0496" w:rsidR="00130127" w:rsidRPr="00E47C90" w:rsidRDefault="00130127" w:rsidP="006E6C33">
                            <w:pPr>
                              <w:jc w:val="both"/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</w:pPr>
                            <w:r w:rsidRPr="00E47C90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 xml:space="preserve">Calabasas Capital is a boutique investment banking firm focused on serving lower middle-market </w:t>
                            </w:r>
                            <w:r w:rsidR="00513983" w:rsidRPr="00E47C90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>privately held</w:t>
                            </w:r>
                            <w:r w:rsidRPr="00E47C90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 xml:space="preserve"> companies</w:t>
                            </w:r>
                            <w:r w:rsidR="009D0994" w:rsidRPr="00E47C90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 xml:space="preserve">, including family-held businesses, </w:t>
                            </w:r>
                            <w:r w:rsidR="00DB1977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 xml:space="preserve">emerging growth </w:t>
                            </w:r>
                            <w:r w:rsidR="006D61B7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>companies,</w:t>
                            </w:r>
                            <w:r w:rsidR="00DB1977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 xml:space="preserve"> and woman-owned businesses</w:t>
                            </w:r>
                            <w:r w:rsidRPr="00E47C90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 xml:space="preserve">. We specialize </w:t>
                            </w:r>
                            <w:r w:rsidR="009D0994" w:rsidRPr="00E47C90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 xml:space="preserve">in </w:t>
                            </w:r>
                            <w:r w:rsidRPr="00E47C90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>sell-side and buy-side mergers</w:t>
                            </w:r>
                            <w:r w:rsidR="00AB4112" w:rsidRPr="00E47C90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>, sales</w:t>
                            </w:r>
                            <w:r w:rsidRPr="00E47C90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 xml:space="preserve"> and acquisitions and we raise private equity and debt capital.</w:t>
                            </w:r>
                            <w:r w:rsidR="00DB1977">
                              <w:rPr>
                                <w:rFonts w:ascii="Calibri" w:eastAsiaTheme="minorEastAsia" w:hAnsi="Calibri" w:cs="Calibri"/>
                                <w:iCs/>
                                <w:color w:val="auto"/>
                              </w:rPr>
                              <w:t xml:space="preserve">   </w:t>
                            </w:r>
                          </w:p>
                          <w:p w14:paraId="76C241ED" w14:textId="6A3419C8" w:rsidR="00130127" w:rsidRPr="00421DCE" w:rsidRDefault="0073657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C8F19" id="Text Box 8" o:spid="_x0000_s1027" type="#_x0000_t202" style="position:absolute;margin-left:0;margin-top:79.05pt;width:396pt;height:91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" fillcolor="#dfebf5 [661]" stroked="f">
                <v:textbox>
                  <w:txbxContent>
                    <w:p w14:paraId="0250297B" w14:textId="40BD0496" w:rsidR="00130127" w:rsidRPr="00E47C90" w:rsidRDefault="00130127" w:rsidP="006E6C33">
                      <w:pPr>
                        <w:jc w:val="both"/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</w:pPr>
                      <w:r w:rsidRPr="00E47C90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 xml:space="preserve">Calabasas Capital is a boutique investment banking firm focused on serving lower middle-market </w:t>
                      </w:r>
                      <w:r w:rsidR="00513983" w:rsidRPr="00E47C90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>privately held</w:t>
                      </w:r>
                      <w:r w:rsidRPr="00E47C90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 xml:space="preserve"> companies</w:t>
                      </w:r>
                      <w:r w:rsidR="009D0994" w:rsidRPr="00E47C90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 xml:space="preserve">, including family-held businesses, </w:t>
                      </w:r>
                      <w:r w:rsidR="00DB1977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 xml:space="preserve">emerging growth </w:t>
                      </w:r>
                      <w:r w:rsidR="006D61B7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>companies,</w:t>
                      </w:r>
                      <w:r w:rsidR="00DB1977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 xml:space="preserve"> and woman-owned businesses</w:t>
                      </w:r>
                      <w:r w:rsidRPr="00E47C90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 xml:space="preserve">. We specialize </w:t>
                      </w:r>
                      <w:r w:rsidR="009D0994" w:rsidRPr="00E47C90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 xml:space="preserve">in </w:t>
                      </w:r>
                      <w:r w:rsidRPr="00E47C90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>sell-side and buy-side mergers</w:t>
                      </w:r>
                      <w:r w:rsidR="00AB4112" w:rsidRPr="00E47C90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>, sales</w:t>
                      </w:r>
                      <w:r w:rsidRPr="00E47C90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 xml:space="preserve"> and acquisitions and we raise private equity and debt capital.</w:t>
                      </w:r>
                      <w:r w:rsidR="00DB1977">
                        <w:rPr>
                          <w:rFonts w:ascii="Calibri" w:eastAsiaTheme="minorEastAsia" w:hAnsi="Calibri" w:cs="Calibri"/>
                          <w:iCs/>
                          <w:color w:val="auto"/>
                        </w:rPr>
                        <w:t xml:space="preserve">   </w:t>
                      </w:r>
                    </w:p>
                    <w:p w14:paraId="76C241ED" w14:textId="6A3419C8" w:rsidR="00130127" w:rsidRPr="00421DCE" w:rsidRDefault="0073657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The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5ABE" w:rsidRPr="009346EF">
        <w:rPr>
          <w:noProof/>
          <w:sz w:val="24"/>
          <w:szCs w:val="24"/>
          <w:lang w:eastAsia="en-US"/>
        </w:rPr>
        <w:drawing>
          <wp:anchor distT="0" distB="0" distL="114300" distR="114300" simplePos="0" relativeHeight="251666432" behindDoc="0" locked="0" layoutInCell="1" allowOverlap="1" wp14:anchorId="1E3E465F" wp14:editId="7A703D3A">
            <wp:simplePos x="0" y="0"/>
            <wp:positionH relativeFrom="margin">
              <wp:posOffset>0</wp:posOffset>
            </wp:positionH>
            <wp:positionV relativeFrom="margin">
              <wp:posOffset>-201930</wp:posOffset>
            </wp:positionV>
            <wp:extent cx="4977765" cy="947420"/>
            <wp:effectExtent l="0" t="0" r="0" b="5080"/>
            <wp:wrapSquare wrapText="bothSides"/>
            <wp:docPr id="4" name="Picture 4" descr="/Users/Kevin/Desktop/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Kevin/Desktop/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6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8179667"/>
      <w:bookmarkEnd w:id="0"/>
      <w:r w:rsidR="001E7C30" w:rsidRPr="009346E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0D9DC" wp14:editId="273E7FB8">
                <wp:simplePos x="0" y="0"/>
                <wp:positionH relativeFrom="margin">
                  <wp:align>left</wp:align>
                </wp:positionH>
                <wp:positionV relativeFrom="paragraph">
                  <wp:posOffset>731520</wp:posOffset>
                </wp:positionV>
                <wp:extent cx="5029200" cy="27432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743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E9B0C" w14:textId="77777777" w:rsidR="00130127" w:rsidRPr="00421DCE" w:rsidRDefault="00130127" w:rsidP="004A613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21DCE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About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D9DC" id="Text Box 10" o:spid="_x0000_s1028" type="#_x0000_t202" style="position:absolute;margin-left:0;margin-top:57.6pt;width:396pt;height:21.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" fillcolor="#0070c0" stroked="f">
                <v:textbox>
                  <w:txbxContent>
                    <w:p w14:paraId="569E9B0C" w14:textId="77777777" w:rsidR="00130127" w:rsidRPr="00421DCE" w:rsidRDefault="00130127" w:rsidP="004A613C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21DCE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>About 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_Hlk47017307"/>
      <w:bookmarkStart w:id="2" w:name="_Hlk133782324"/>
      <w:bookmarkStart w:id="3" w:name="_Hlk166494219"/>
      <w:bookmarkEnd w:id="1"/>
      <w:bookmarkEnd w:id="2"/>
      <w:r w:rsidR="00C14274" w:rsidRPr="009346EF">
        <w:rPr>
          <w:rFonts w:ascii="Calibri" w:hAnsi="Calibri" w:cs="Calibri"/>
        </w:rPr>
        <w:t>North America</w:t>
      </w:r>
      <w:r w:rsidR="00037FA6" w:rsidRPr="009346EF">
        <w:rPr>
          <w:rFonts w:ascii="Calibri" w:hAnsi="Calibri" w:cs="Calibri"/>
        </w:rPr>
        <w:t>n</w:t>
      </w:r>
      <w:r w:rsidR="00C14274" w:rsidRPr="009346EF">
        <w:rPr>
          <w:rFonts w:ascii="Calibri" w:hAnsi="Calibri" w:cs="Calibri"/>
        </w:rPr>
        <w:t xml:space="preserve"> M&amp;A Up in 1Q 2026</w:t>
      </w:r>
      <w:r w:rsidR="005871DC" w:rsidRPr="009346EF">
        <w:rPr>
          <w:rFonts w:ascii="Calibri" w:hAnsi="Calibri" w:cs="Calibri"/>
        </w:rPr>
        <w:t xml:space="preserve"> </w:t>
      </w:r>
      <w:bookmarkEnd w:id="3"/>
    </w:p>
    <w:p w14:paraId="66581049" w14:textId="7BA2CDBE" w:rsidR="00C14274" w:rsidRDefault="00C14274" w:rsidP="00C1427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According to PitchBook, the total value of </w:t>
      </w:r>
      <w:r w:rsidRPr="00C14274">
        <w:rPr>
          <w:rFonts w:ascii="Calibri" w:hAnsi="Calibri" w:cs="Calibri"/>
        </w:rPr>
        <w:t>North American M&amp;A reached a new all-time high of $1,022.2 billion</w:t>
      </w:r>
      <w:r>
        <w:rPr>
          <w:rFonts w:ascii="Calibri" w:hAnsi="Calibri" w:cs="Calibri"/>
        </w:rPr>
        <w:t xml:space="preserve">, representing </w:t>
      </w:r>
      <w:r w:rsidRPr="00C14274">
        <w:rPr>
          <w:rFonts w:ascii="Calibri" w:hAnsi="Calibri" w:cs="Calibri"/>
        </w:rPr>
        <w:t>a 2</w:t>
      </w:r>
      <w:r>
        <w:rPr>
          <w:rFonts w:ascii="Calibri" w:hAnsi="Calibri" w:cs="Calibri"/>
        </w:rPr>
        <w:t>3</w:t>
      </w:r>
      <w:r w:rsidRPr="00C14274">
        <w:rPr>
          <w:rFonts w:ascii="Calibri" w:hAnsi="Calibri" w:cs="Calibri"/>
        </w:rPr>
        <w:t>%</w:t>
      </w:r>
      <w:r>
        <w:rPr>
          <w:rFonts w:ascii="Calibri" w:hAnsi="Calibri" w:cs="Calibri"/>
        </w:rPr>
        <w:t xml:space="preserve"> QoQ</w:t>
      </w:r>
      <w:r w:rsidRPr="00C14274">
        <w:rPr>
          <w:rFonts w:ascii="Calibri" w:hAnsi="Calibri" w:cs="Calibri"/>
        </w:rPr>
        <w:t xml:space="preserve"> increase </w:t>
      </w:r>
      <w:r>
        <w:rPr>
          <w:rFonts w:ascii="Calibri" w:hAnsi="Calibri" w:cs="Calibri"/>
        </w:rPr>
        <w:t xml:space="preserve">vs. 4Q 2025 and a 60% increase YoY vs. 1Q 2025.   </w:t>
      </w:r>
      <w:r w:rsidRPr="00C14274">
        <w:rPr>
          <w:rFonts w:ascii="Calibri" w:hAnsi="Calibri" w:cs="Calibri"/>
        </w:rPr>
        <w:t>Deal count rose to 5,539, a</w:t>
      </w:r>
      <w:r>
        <w:rPr>
          <w:rFonts w:ascii="Calibri" w:hAnsi="Calibri" w:cs="Calibri"/>
        </w:rPr>
        <w:t xml:space="preserve"> gain of 10% QoQ and 19% YoY.  </w:t>
      </w:r>
    </w:p>
    <w:p w14:paraId="4D6FA1E6" w14:textId="77777777" w:rsidR="00C14274" w:rsidRDefault="00C14274" w:rsidP="00C14274">
      <w:pPr>
        <w:spacing w:after="0" w:line="240" w:lineRule="auto"/>
        <w:rPr>
          <w:rFonts w:ascii="Calibri" w:hAnsi="Calibri" w:cs="Calibri"/>
        </w:rPr>
      </w:pPr>
    </w:p>
    <w:p w14:paraId="5775C31F" w14:textId="790FF39F" w:rsidR="00C14274" w:rsidRDefault="00C14274" w:rsidP="00C14274">
      <w:pPr>
        <w:spacing w:after="0" w:line="240" w:lineRule="auto"/>
        <w:jc w:val="center"/>
        <w:rPr>
          <w:rFonts w:ascii="Calibri" w:hAnsi="Calibri" w:cs="Calibri"/>
        </w:rPr>
      </w:pPr>
      <w:r w:rsidRPr="00FF394B">
        <w:rPr>
          <w:rFonts w:ascii="Calibri" w:hAnsi="Calibri" w:cs="Calibri"/>
          <w:noProof/>
        </w:rPr>
        <w:drawing>
          <wp:inline distT="0" distB="0" distL="0" distR="0" wp14:anchorId="740201C9" wp14:editId="73F01CF4">
            <wp:extent cx="3778250" cy="3585800"/>
            <wp:effectExtent l="0" t="0" r="0" b="0"/>
            <wp:docPr id="1584148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3512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9403" cy="35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3AED" w14:textId="77777777" w:rsidR="00C14274" w:rsidRDefault="00C14274" w:rsidP="00C14274">
      <w:pPr>
        <w:spacing w:after="0" w:line="240" w:lineRule="auto"/>
        <w:rPr>
          <w:rFonts w:ascii="Calibri" w:hAnsi="Calibri" w:cs="Calibri"/>
        </w:rPr>
      </w:pPr>
    </w:p>
    <w:p w14:paraId="6A416082" w14:textId="7B0A8ECE" w:rsidR="00C14274" w:rsidRDefault="00C14274" w:rsidP="00C1427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continues to be bifurcation between large and small deals.  In 1Q 2026, the 10 largest deals represented about half of the total value of deals, including the largest one</w:t>
      </w:r>
      <w:r w:rsidR="00FB0B50">
        <w:rPr>
          <w:rFonts w:ascii="Calibri" w:hAnsi="Calibri" w:cs="Calibri"/>
        </w:rPr>
        <w:t xml:space="preserve"> which was </w:t>
      </w:r>
      <w:r w:rsidRPr="00C14274">
        <w:rPr>
          <w:rFonts w:ascii="Calibri" w:hAnsi="Calibri" w:cs="Calibri"/>
        </w:rPr>
        <w:t>the $250 billion xAI</w:t>
      </w:r>
      <w:r>
        <w:rPr>
          <w:rFonts w:ascii="Calibri" w:hAnsi="Calibri" w:cs="Calibri"/>
        </w:rPr>
        <w:t xml:space="preserve"> </w:t>
      </w:r>
      <w:r w:rsidR="00037FA6">
        <w:rPr>
          <w:rFonts w:ascii="Calibri" w:hAnsi="Calibri" w:cs="Calibri"/>
        </w:rPr>
        <w:t xml:space="preserve">related party </w:t>
      </w:r>
      <w:proofErr w:type="gramStart"/>
      <w:r w:rsidRPr="00C14274">
        <w:rPr>
          <w:rFonts w:ascii="Calibri" w:hAnsi="Calibri" w:cs="Calibri"/>
        </w:rPr>
        <w:t>transaction</w:t>
      </w:r>
      <w:proofErr w:type="gramEnd"/>
      <w:r w:rsidR="00037FA6">
        <w:rPr>
          <w:rFonts w:ascii="Calibri" w:hAnsi="Calibri" w:cs="Calibri"/>
        </w:rPr>
        <w:t xml:space="preserve">.  </w:t>
      </w:r>
    </w:p>
    <w:p w14:paraId="19211F7B" w14:textId="77777777" w:rsidR="00C14274" w:rsidRDefault="00C14274" w:rsidP="00C14274">
      <w:pPr>
        <w:spacing w:after="0" w:line="240" w:lineRule="auto"/>
        <w:rPr>
          <w:rFonts w:ascii="Calibri" w:hAnsi="Calibri" w:cs="Calibri"/>
        </w:rPr>
      </w:pPr>
    </w:p>
    <w:p w14:paraId="138F3AE6" w14:textId="5134CFE7" w:rsidR="00037FA6" w:rsidRPr="009346EF" w:rsidRDefault="00037FA6" w:rsidP="00037FA6">
      <w:pPr>
        <w:pStyle w:val="Heading1"/>
        <w:spacing w:before="0" w:after="0"/>
        <w:rPr>
          <w:rFonts w:ascii="Calibri" w:hAnsi="Calibri" w:cs="Calibri"/>
        </w:rPr>
      </w:pPr>
      <w:r w:rsidRPr="009346EF">
        <w:rPr>
          <w:rFonts w:ascii="Calibri" w:hAnsi="Calibri" w:cs="Calibri"/>
        </w:rPr>
        <w:t>Valuations Still Impacted by Scale</w:t>
      </w:r>
    </w:p>
    <w:p w14:paraId="731483A1" w14:textId="3585EFD9" w:rsidR="00C14274" w:rsidRDefault="00EE5E24" w:rsidP="00EE5E2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According to PitchBook, o</w:t>
      </w:r>
      <w:r w:rsidR="00037FA6">
        <w:rPr>
          <w:rFonts w:ascii="Calibri" w:hAnsi="Calibri" w:cs="Calibri"/>
        </w:rPr>
        <w:t xml:space="preserve">n a </w:t>
      </w:r>
      <w:r w:rsidRPr="00EE5E24">
        <w:rPr>
          <w:rFonts w:ascii="Calibri" w:hAnsi="Calibri" w:cs="Calibri"/>
        </w:rPr>
        <w:t>trailing 12-month (TTM)</w:t>
      </w:r>
      <w:r>
        <w:rPr>
          <w:rFonts w:ascii="Calibri" w:hAnsi="Calibri" w:cs="Calibri"/>
        </w:rPr>
        <w:t xml:space="preserve"> </w:t>
      </w:r>
      <w:r w:rsidR="00037FA6">
        <w:rPr>
          <w:rFonts w:ascii="Calibri" w:hAnsi="Calibri" w:cs="Calibri"/>
        </w:rPr>
        <w:t xml:space="preserve">basis as of March 31, 2026, EBITDA multiples for the largest sized deals (above $5 billion) and the smallest sized deals (less than $100 million) each rose about 10% vs. 2024.  The smaller deals continue to be attractive as tuck-in acquisitions.  This is also consistent with </w:t>
      </w:r>
      <w:r>
        <w:rPr>
          <w:rFonts w:ascii="Calibri" w:hAnsi="Calibri" w:cs="Calibri"/>
        </w:rPr>
        <w:lastRenderedPageBreak/>
        <w:t xml:space="preserve">valuation </w:t>
      </w:r>
      <w:r w:rsidR="00037FA6">
        <w:rPr>
          <w:rFonts w:ascii="Calibri" w:hAnsi="Calibri" w:cs="Calibri"/>
        </w:rPr>
        <w:t>multiple</w:t>
      </w:r>
      <w:r>
        <w:rPr>
          <w:rFonts w:ascii="Calibri" w:hAnsi="Calibri" w:cs="Calibri"/>
        </w:rPr>
        <w:t>s</w:t>
      </w:r>
      <w:r w:rsidR="00037FA6">
        <w:rPr>
          <w:rFonts w:ascii="Calibri" w:hAnsi="Calibri" w:cs="Calibri"/>
        </w:rPr>
        <w:t xml:space="preserve"> reported by GF Data, which tracks private equity transactions</w:t>
      </w:r>
      <w:r w:rsidR="00E5226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</w:t>
      </w:r>
      <w:r w:rsidRPr="00EE5E24">
        <w:rPr>
          <w:rFonts w:ascii="Calibri" w:hAnsi="Calibri" w:cs="Calibri"/>
        </w:rPr>
        <w:t xml:space="preserve">GF Data’s contributing private equity firms reported 80 </w:t>
      </w:r>
      <w:proofErr w:type="gramStart"/>
      <w:r w:rsidRPr="00EE5E24">
        <w:rPr>
          <w:rFonts w:ascii="Calibri" w:hAnsi="Calibri" w:cs="Calibri"/>
        </w:rPr>
        <w:t>completed</w:t>
      </w:r>
      <w:proofErr w:type="gramEnd"/>
      <w:r w:rsidRPr="00EE5E24">
        <w:rPr>
          <w:rFonts w:ascii="Calibri" w:hAnsi="Calibri" w:cs="Calibri"/>
        </w:rPr>
        <w:t xml:space="preserve"> transactions during the first quarter at an average valuation of 7.3x TTM</w:t>
      </w:r>
      <w:r>
        <w:rPr>
          <w:rFonts w:ascii="Calibri" w:hAnsi="Calibri" w:cs="Calibri"/>
        </w:rPr>
        <w:t xml:space="preserve"> </w:t>
      </w:r>
      <w:r w:rsidRPr="00EE5E24">
        <w:rPr>
          <w:rFonts w:ascii="Calibri" w:hAnsi="Calibri" w:cs="Calibri"/>
        </w:rPr>
        <w:t>adjusted EBITDA. </w:t>
      </w:r>
      <w:r>
        <w:rPr>
          <w:rFonts w:ascii="Calibri" w:hAnsi="Calibri" w:cs="Calibri"/>
        </w:rPr>
        <w:t xml:space="preserve">  </w:t>
      </w:r>
      <w:r w:rsidRPr="00EE5E24">
        <w:rPr>
          <w:rFonts w:ascii="Calibri" w:hAnsi="Calibri" w:cs="Calibri"/>
        </w:rPr>
        <w:t>Both readings held above their full-year 2025 levels</w:t>
      </w:r>
      <w:r>
        <w:rPr>
          <w:rFonts w:ascii="Calibri" w:hAnsi="Calibri" w:cs="Calibri"/>
        </w:rPr>
        <w:t>.    S</w:t>
      </w:r>
      <w:r w:rsidR="00037FA6" w:rsidRPr="00037FA6">
        <w:rPr>
          <w:rFonts w:ascii="Calibri" w:hAnsi="Calibri" w:cs="Calibri"/>
        </w:rPr>
        <w:t>ponsors and corporates are</w:t>
      </w:r>
      <w:r w:rsidR="00037FA6">
        <w:rPr>
          <w:rFonts w:ascii="Calibri" w:hAnsi="Calibri" w:cs="Calibri"/>
        </w:rPr>
        <w:t xml:space="preserve"> </w:t>
      </w:r>
      <w:r w:rsidR="00037FA6" w:rsidRPr="00037FA6">
        <w:rPr>
          <w:rFonts w:ascii="Calibri" w:hAnsi="Calibri" w:cs="Calibri"/>
        </w:rPr>
        <w:t>paying up for scale and market leadership</w:t>
      </w:r>
      <w:r>
        <w:rPr>
          <w:rFonts w:ascii="Calibri" w:hAnsi="Calibri" w:cs="Calibri"/>
        </w:rPr>
        <w:t xml:space="preserve">. </w:t>
      </w:r>
    </w:p>
    <w:p w14:paraId="51D3B96F" w14:textId="77777777" w:rsidR="00FB0B50" w:rsidRDefault="00FB0B50" w:rsidP="00EE5E24">
      <w:pPr>
        <w:spacing w:after="0" w:line="240" w:lineRule="auto"/>
        <w:rPr>
          <w:rFonts w:ascii="Calibri" w:hAnsi="Calibri" w:cs="Calibri"/>
        </w:rPr>
      </w:pPr>
    </w:p>
    <w:p w14:paraId="3410F743" w14:textId="4078239A" w:rsidR="00C14274" w:rsidRDefault="00037FA6" w:rsidP="008C5311">
      <w:pPr>
        <w:spacing w:after="0" w:line="240" w:lineRule="auto"/>
        <w:rPr>
          <w:rFonts w:ascii="Calibri" w:hAnsi="Calibri" w:cs="Calibri"/>
        </w:rPr>
      </w:pPr>
      <w:r w:rsidRPr="00C14274">
        <w:rPr>
          <w:rFonts w:ascii="Calibri" w:hAnsi="Calibri" w:cs="Calibri"/>
          <w:noProof/>
        </w:rPr>
        <w:drawing>
          <wp:inline distT="0" distB="0" distL="0" distR="0" wp14:anchorId="5BFAB2F2" wp14:editId="79664C0F">
            <wp:extent cx="5086350" cy="2352675"/>
            <wp:effectExtent l="0" t="0" r="0" b="9525"/>
            <wp:docPr id="785486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93756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0A098" w14:textId="02856011" w:rsidR="00FF394B" w:rsidRPr="009346EF" w:rsidRDefault="00E5226A" w:rsidP="00E5226A">
      <w:pPr>
        <w:spacing w:after="0" w:line="240" w:lineRule="auto"/>
        <w:jc w:val="both"/>
        <w:rPr>
          <w:rFonts w:ascii="Calibri" w:eastAsiaTheme="majorEastAsia" w:hAnsi="Calibri" w:cs="Calibri"/>
          <w:b/>
          <w:color w:val="4A66AC" w:themeColor="accent1"/>
          <w:sz w:val="34"/>
          <w:szCs w:val="32"/>
        </w:rPr>
      </w:pPr>
      <w:r w:rsidRPr="009346EF">
        <w:rPr>
          <w:rFonts w:ascii="Calibri" w:eastAsiaTheme="majorEastAsia" w:hAnsi="Calibri" w:cs="Calibri"/>
          <w:b/>
          <w:color w:val="4A66AC" w:themeColor="accent1"/>
          <w:sz w:val="34"/>
          <w:szCs w:val="32"/>
        </w:rPr>
        <w:t>U.S. Private Equity Deal Value Down</w:t>
      </w:r>
    </w:p>
    <w:p w14:paraId="0D298396" w14:textId="41F6E428" w:rsidR="00E5226A" w:rsidRDefault="00E5226A" w:rsidP="00E5226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While the number of U.S. private equity transactions closed in 1</w:t>
      </w:r>
      <w:r w:rsidRPr="00E5226A">
        <w:rPr>
          <w:rFonts w:ascii="Calibri" w:hAnsi="Calibri" w:cs="Calibri"/>
        </w:rPr>
        <w:t xml:space="preserve">Q 2026 </w:t>
      </w:r>
      <w:r>
        <w:rPr>
          <w:rFonts w:ascii="Calibri" w:hAnsi="Calibri" w:cs="Calibri"/>
        </w:rPr>
        <w:t xml:space="preserve">of 2,415 was up 5% QoQ and 6% YoY, the value of </w:t>
      </w:r>
      <w:r w:rsidRPr="00E5226A">
        <w:rPr>
          <w:rFonts w:ascii="Calibri" w:hAnsi="Calibri" w:cs="Calibri"/>
        </w:rPr>
        <w:t>$260.2 billion (including</w:t>
      </w:r>
      <w:r>
        <w:rPr>
          <w:rFonts w:ascii="Calibri" w:hAnsi="Calibri" w:cs="Calibri"/>
        </w:rPr>
        <w:t xml:space="preserve"> </w:t>
      </w:r>
      <w:r w:rsidRPr="00E5226A">
        <w:rPr>
          <w:rFonts w:ascii="Calibri" w:hAnsi="Calibri" w:cs="Calibri"/>
        </w:rPr>
        <w:t>estimates for late-reporting and undisclosed values),</w:t>
      </w:r>
      <w:r>
        <w:rPr>
          <w:rFonts w:ascii="Calibri" w:hAnsi="Calibri" w:cs="Calibri"/>
        </w:rPr>
        <w:t xml:space="preserve"> represented a decline of 18% </w:t>
      </w:r>
      <w:r w:rsidRPr="00E5226A">
        <w:rPr>
          <w:rFonts w:ascii="Calibri" w:hAnsi="Calibri" w:cs="Calibri"/>
        </w:rPr>
        <w:t xml:space="preserve">QoQ </w:t>
      </w:r>
      <w:r>
        <w:rPr>
          <w:rFonts w:ascii="Calibri" w:hAnsi="Calibri" w:cs="Calibri"/>
        </w:rPr>
        <w:t xml:space="preserve"> and a decline of 7% YoY.  This demonstrates how </w:t>
      </w:r>
      <w:r w:rsidRPr="00E5226A">
        <w:rPr>
          <w:rFonts w:ascii="Calibri" w:hAnsi="Calibri" w:cs="Calibri"/>
        </w:rPr>
        <w:t xml:space="preserve">PE </w:t>
      </w:r>
      <w:r>
        <w:rPr>
          <w:rFonts w:ascii="Calibri" w:hAnsi="Calibri" w:cs="Calibri"/>
        </w:rPr>
        <w:t xml:space="preserve">buyers have moved </w:t>
      </w:r>
      <w:r w:rsidRPr="00E5226A">
        <w:rPr>
          <w:rFonts w:ascii="Calibri" w:hAnsi="Calibri" w:cs="Calibri"/>
        </w:rPr>
        <w:t>down-market</w:t>
      </w:r>
      <w:r>
        <w:rPr>
          <w:rFonts w:ascii="Calibri" w:hAnsi="Calibri" w:cs="Calibri"/>
        </w:rPr>
        <w:t xml:space="preserve"> to smaller deals.  </w:t>
      </w:r>
    </w:p>
    <w:p w14:paraId="0E011BA1" w14:textId="77777777" w:rsidR="00E5226A" w:rsidRDefault="00E5226A" w:rsidP="00E5226A">
      <w:pPr>
        <w:spacing w:after="0" w:line="240" w:lineRule="auto"/>
        <w:rPr>
          <w:rFonts w:ascii="Calibri" w:hAnsi="Calibri" w:cs="Calibri"/>
        </w:rPr>
      </w:pPr>
    </w:p>
    <w:p w14:paraId="2DC3F858" w14:textId="1DEE7186" w:rsidR="00244831" w:rsidRDefault="00E5226A" w:rsidP="008C7981">
      <w:pPr>
        <w:spacing w:line="259" w:lineRule="auto"/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F85EEA1" wp14:editId="7AF0A8A8">
            <wp:extent cx="5086350" cy="3397250"/>
            <wp:effectExtent l="0" t="0" r="0" b="0"/>
            <wp:docPr id="7829395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CD59507-18E6-4168-9294-84C17C1DC9E0}"/>
                </a:ext>
                <a:ext uri="{147F2762-F138-4A5C-976F-8EAC2B608ADB}">
                  <a16:predDERef xmlns:a16="http://schemas.microsoft.com/office/drawing/2014/main" pred="{00000000-0008-0000-17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30B3618" w14:textId="77777777" w:rsidR="00244831" w:rsidRDefault="00244831" w:rsidP="008C7981">
      <w:pPr>
        <w:spacing w:line="259" w:lineRule="auto"/>
        <w:jc w:val="both"/>
        <w:rPr>
          <w:rFonts w:ascii="Calibri" w:hAnsi="Calibri" w:cs="Calibri"/>
        </w:rPr>
      </w:pPr>
    </w:p>
    <w:p w14:paraId="39A9C1F8" w14:textId="3AD1A3F6" w:rsidR="00244831" w:rsidRDefault="00244831" w:rsidP="008C7981">
      <w:pPr>
        <w:spacing w:line="259" w:lineRule="auto"/>
        <w:jc w:val="both"/>
        <w:rPr>
          <w:rFonts w:ascii="Calibri" w:hAnsi="Calibri" w:cs="Calibri"/>
        </w:rPr>
      </w:pPr>
    </w:p>
    <w:p w14:paraId="01F7DDF9" w14:textId="77777777" w:rsidR="00244831" w:rsidRDefault="00244831" w:rsidP="008C7981">
      <w:pPr>
        <w:spacing w:line="259" w:lineRule="auto"/>
        <w:jc w:val="both"/>
        <w:rPr>
          <w:rFonts w:ascii="Calibri" w:hAnsi="Calibri" w:cs="Calibri"/>
        </w:rPr>
      </w:pPr>
    </w:p>
    <w:p w14:paraId="666CE391" w14:textId="7D7FF32D" w:rsidR="001F3FB1" w:rsidRPr="009346EF" w:rsidRDefault="001F3FB1" w:rsidP="001F3FB1">
      <w:pPr>
        <w:spacing w:after="0" w:line="240" w:lineRule="auto"/>
        <w:jc w:val="both"/>
        <w:rPr>
          <w:rFonts w:ascii="Calibri" w:eastAsiaTheme="majorEastAsia" w:hAnsi="Calibri" w:cs="Calibri"/>
          <w:b/>
          <w:color w:val="4A66AC" w:themeColor="accent1"/>
          <w:sz w:val="34"/>
          <w:szCs w:val="32"/>
        </w:rPr>
      </w:pPr>
      <w:r w:rsidRPr="009346EF">
        <w:rPr>
          <w:rFonts w:ascii="Calibri" w:eastAsiaTheme="majorEastAsia" w:hAnsi="Calibri" w:cs="Calibri"/>
          <w:b/>
          <w:color w:val="4A66AC" w:themeColor="accent1"/>
          <w:sz w:val="34"/>
          <w:szCs w:val="32"/>
        </w:rPr>
        <w:t>U.S. Private Equity Exits Way Down</w:t>
      </w:r>
    </w:p>
    <w:p w14:paraId="2D3C29A3" w14:textId="1B40F0A5" w:rsidR="001F3FB1" w:rsidRDefault="001F3FB1" w:rsidP="001F3FB1">
      <w:pPr>
        <w:spacing w:after="0" w:line="240" w:lineRule="auto"/>
        <w:jc w:val="both"/>
        <w:rPr>
          <w:rFonts w:ascii="Calibri" w:eastAsiaTheme="majorEastAsia" w:hAnsi="Calibri" w:cs="Calibri"/>
          <w:b/>
          <w:color w:val="4B847D"/>
          <w:sz w:val="34"/>
          <w:szCs w:val="32"/>
        </w:rPr>
      </w:pPr>
      <w:r>
        <w:rPr>
          <w:rFonts w:ascii="Calibri" w:hAnsi="Calibri" w:cs="Calibri"/>
        </w:rPr>
        <w:t xml:space="preserve">According to PitchBook, the value of PE exits in 1Q 2026 was down 33% QoQ compared to 4Q 2025 and down 35% YoY vs. 1Q 2025.   Similar to 2025 when  ‘Liberation Day’ put the brakes on a promising year, the start of 2026 has faced unexpected headwinds, </w:t>
      </w:r>
      <w:r w:rsidRPr="001F3FB1">
        <w:rPr>
          <w:rFonts w:ascii="Calibri" w:hAnsi="Calibri" w:cs="Calibri"/>
        </w:rPr>
        <w:t>AI</w:t>
      </w:r>
      <w:r>
        <w:rPr>
          <w:rFonts w:ascii="Calibri" w:hAnsi="Calibri" w:cs="Calibri"/>
        </w:rPr>
        <w:t xml:space="preserve"> </w:t>
      </w:r>
      <w:r w:rsidRPr="001F3FB1">
        <w:rPr>
          <w:rFonts w:ascii="Calibri" w:hAnsi="Calibri" w:cs="Calibri"/>
        </w:rPr>
        <w:t>disruption, the war in Iran, and reduced odds of rate cuts.</w:t>
      </w:r>
      <w:r>
        <w:rPr>
          <w:rFonts w:ascii="Calibri" w:hAnsi="Calibri" w:cs="Calibri"/>
        </w:rPr>
        <w:t xml:space="preserve">  Nevertheless, </w:t>
      </w:r>
      <w:r w:rsidRPr="001F3FB1">
        <w:rPr>
          <w:rFonts w:ascii="Calibri" w:hAnsi="Calibri" w:cs="Calibri"/>
        </w:rPr>
        <w:t xml:space="preserve"> exit activity in </w:t>
      </w:r>
      <w:r>
        <w:rPr>
          <w:rFonts w:ascii="Calibri" w:hAnsi="Calibri" w:cs="Calibri"/>
        </w:rPr>
        <w:t>1Q</w:t>
      </w:r>
      <w:r w:rsidRPr="001F3FB1">
        <w:rPr>
          <w:rFonts w:ascii="Calibri" w:hAnsi="Calibri" w:cs="Calibri"/>
        </w:rPr>
        <w:t xml:space="preserve"> 2026 remained resilient, as </w:t>
      </w:r>
      <w:r>
        <w:rPr>
          <w:rFonts w:ascii="Calibri" w:hAnsi="Calibri" w:cs="Calibri"/>
        </w:rPr>
        <w:t xml:space="preserve">the </w:t>
      </w:r>
      <w:r w:rsidRPr="001F3FB1">
        <w:rPr>
          <w:rFonts w:ascii="Calibri" w:hAnsi="Calibri" w:cs="Calibri"/>
        </w:rPr>
        <w:t xml:space="preserve">QoQ </w:t>
      </w:r>
      <w:r>
        <w:rPr>
          <w:rFonts w:ascii="Calibri" w:hAnsi="Calibri" w:cs="Calibri"/>
        </w:rPr>
        <w:t xml:space="preserve">and YoY declines were exacerbated by the relative outperformance in exits in the comparable quarters of 1Q 2025 and 4Q 2025 as demonstrated by the chart. </w:t>
      </w:r>
    </w:p>
    <w:p w14:paraId="01049C0B" w14:textId="77777777" w:rsidR="001F3FB1" w:rsidRDefault="001F3FB1" w:rsidP="0070532A">
      <w:pPr>
        <w:spacing w:after="0" w:line="240" w:lineRule="auto"/>
        <w:jc w:val="both"/>
        <w:rPr>
          <w:rFonts w:ascii="Calibri" w:eastAsiaTheme="majorEastAsia" w:hAnsi="Calibri" w:cs="Calibri"/>
          <w:b/>
          <w:color w:val="4B847D"/>
          <w:sz w:val="34"/>
          <w:szCs w:val="32"/>
        </w:rPr>
      </w:pPr>
    </w:p>
    <w:p w14:paraId="29C5B414" w14:textId="4A42BE3C" w:rsidR="001F3FB1" w:rsidRDefault="001F3FB1" w:rsidP="0070532A">
      <w:pPr>
        <w:spacing w:after="0" w:line="240" w:lineRule="auto"/>
        <w:jc w:val="both"/>
        <w:rPr>
          <w:rFonts w:ascii="Calibri" w:eastAsiaTheme="majorEastAsia" w:hAnsi="Calibri" w:cs="Calibri"/>
          <w:b/>
          <w:color w:val="4B847D"/>
          <w:sz w:val="34"/>
          <w:szCs w:val="32"/>
        </w:rPr>
      </w:pPr>
      <w:r>
        <w:rPr>
          <w:noProof/>
        </w:rPr>
        <w:drawing>
          <wp:inline distT="0" distB="0" distL="0" distR="0" wp14:anchorId="7D88E68D" wp14:editId="31218DC7">
            <wp:extent cx="5086350" cy="2481580"/>
            <wp:effectExtent l="0" t="0" r="0" b="0"/>
            <wp:docPr id="4911391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956878D-269D-4B0E-98D6-B68D249702B4}"/>
                </a:ext>
                <a:ext uri="{147F2762-F138-4A5C-976F-8EAC2B608ADB}">
                  <a16:predDERef xmlns:a16="http://schemas.microsoft.com/office/drawing/2014/main" pred="{6055B90B-0955-40A5-AEA6-F686D1F0A8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C37FAB8" w14:textId="77777777" w:rsidR="001F3FB1" w:rsidRDefault="001F3FB1" w:rsidP="0070532A">
      <w:pPr>
        <w:spacing w:after="0" w:line="240" w:lineRule="auto"/>
        <w:jc w:val="both"/>
        <w:rPr>
          <w:rFonts w:ascii="Calibri" w:eastAsiaTheme="majorEastAsia" w:hAnsi="Calibri" w:cs="Calibri"/>
          <w:b/>
          <w:color w:val="4B847D"/>
          <w:sz w:val="34"/>
          <w:szCs w:val="32"/>
        </w:rPr>
      </w:pPr>
    </w:p>
    <w:p w14:paraId="71C8148E" w14:textId="3617308F" w:rsidR="005E6E8B" w:rsidRPr="009346EF" w:rsidRDefault="005E6E8B" w:rsidP="0070532A">
      <w:pPr>
        <w:spacing w:after="0" w:line="240" w:lineRule="auto"/>
        <w:jc w:val="both"/>
        <w:rPr>
          <w:rFonts w:ascii="Calibri" w:eastAsiaTheme="majorEastAsia" w:hAnsi="Calibri" w:cs="Calibri"/>
          <w:b/>
          <w:color w:val="4A66AC" w:themeColor="accent1"/>
          <w:sz w:val="34"/>
          <w:szCs w:val="32"/>
        </w:rPr>
      </w:pPr>
      <w:r w:rsidRPr="009346EF">
        <w:rPr>
          <w:rFonts w:ascii="Calibri" w:eastAsiaTheme="majorEastAsia" w:hAnsi="Calibri" w:cs="Calibri"/>
          <w:b/>
          <w:color w:val="4A66AC" w:themeColor="accent1"/>
          <w:sz w:val="34"/>
          <w:szCs w:val="32"/>
        </w:rPr>
        <w:t xml:space="preserve">M&amp;A </w:t>
      </w:r>
      <w:r w:rsidR="00DB1977" w:rsidRPr="009346EF">
        <w:rPr>
          <w:rFonts w:ascii="Calibri" w:eastAsiaTheme="majorEastAsia" w:hAnsi="Calibri" w:cs="Calibri"/>
          <w:b/>
          <w:color w:val="4A66AC" w:themeColor="accent1"/>
          <w:sz w:val="34"/>
          <w:szCs w:val="32"/>
        </w:rPr>
        <w:t>Market Outlook</w:t>
      </w:r>
    </w:p>
    <w:p w14:paraId="5CF578DC" w14:textId="4D98370F" w:rsidR="00037FA6" w:rsidRDefault="00037FA6" w:rsidP="00037FA6">
      <w:pPr>
        <w:spacing w:after="0" w:line="240" w:lineRule="auto"/>
        <w:rPr>
          <w:rFonts w:ascii="Calibri" w:hAnsi="Calibri" w:cs="Calibri"/>
        </w:rPr>
      </w:pPr>
      <w:r w:rsidRPr="00C14274">
        <w:rPr>
          <w:rFonts w:ascii="Calibri" w:hAnsi="Calibri" w:cs="Calibri"/>
        </w:rPr>
        <w:t xml:space="preserve">Dealmakers </w:t>
      </w:r>
      <w:r w:rsidR="00C023B7">
        <w:rPr>
          <w:rFonts w:ascii="Calibri" w:hAnsi="Calibri" w:cs="Calibri"/>
        </w:rPr>
        <w:t xml:space="preserve">continue to race to close deals </w:t>
      </w:r>
      <w:r w:rsidRPr="00C14274">
        <w:rPr>
          <w:rFonts w:ascii="Calibri" w:hAnsi="Calibri" w:cs="Calibri"/>
        </w:rPr>
        <w:t>as geopolitical</w:t>
      </w:r>
      <w:r>
        <w:rPr>
          <w:rFonts w:ascii="Calibri" w:hAnsi="Calibri" w:cs="Calibri"/>
        </w:rPr>
        <w:t xml:space="preserve"> </w:t>
      </w:r>
      <w:r w:rsidRPr="00C14274">
        <w:rPr>
          <w:rFonts w:ascii="Calibri" w:hAnsi="Calibri" w:cs="Calibri"/>
        </w:rPr>
        <w:t>risks spike</w:t>
      </w:r>
      <w:r w:rsidR="00C023B7">
        <w:rPr>
          <w:rFonts w:ascii="Calibri" w:hAnsi="Calibri" w:cs="Calibri"/>
        </w:rPr>
        <w:t xml:space="preserve">, and inflation remains stubbornly high leading to expectations of a rate increase this year as opposed to further rate cuts.  Adding in the concern of an AI-induced ‘SaaS-pocalypse’, we are faced with lower activity in middle market M&amp;A so far in 2026.  </w:t>
      </w:r>
    </w:p>
    <w:p w14:paraId="7A6C0BF1" w14:textId="77777777" w:rsidR="00037FA6" w:rsidRDefault="00037FA6" w:rsidP="0070532A">
      <w:pPr>
        <w:spacing w:after="0" w:line="240" w:lineRule="auto"/>
        <w:jc w:val="both"/>
        <w:rPr>
          <w:rFonts w:ascii="Calibri" w:hAnsi="Calibri" w:cs="Calibri"/>
        </w:rPr>
      </w:pPr>
    </w:p>
    <w:p w14:paraId="0165A3B5" w14:textId="2ABE20A1" w:rsidR="00C023B7" w:rsidRDefault="00C023B7" w:rsidP="008C531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theme we’ve seen play out over the past two years, therefore, continues today.  Mega deals continue to close as do small strategic add-ons.  The upper middle market, </w:t>
      </w:r>
      <w:r w:rsidR="00FB0B50">
        <w:rPr>
          <w:rFonts w:ascii="Calibri" w:hAnsi="Calibri" w:cs="Calibri"/>
        </w:rPr>
        <w:t>however,</w:t>
      </w:r>
      <w:r>
        <w:rPr>
          <w:rFonts w:ascii="Calibri" w:hAnsi="Calibri" w:cs="Calibri"/>
        </w:rPr>
        <w:t xml:space="preserve"> where sellers (including PE owners) are still reluctant to sell at current valuations. </w:t>
      </w:r>
    </w:p>
    <w:p w14:paraId="22425CC1" w14:textId="77777777" w:rsidR="00C023B7" w:rsidRDefault="00C023B7" w:rsidP="008C5311">
      <w:pPr>
        <w:spacing w:after="0" w:line="240" w:lineRule="auto"/>
        <w:rPr>
          <w:rFonts w:ascii="Calibri" w:hAnsi="Calibri" w:cs="Calibri"/>
        </w:rPr>
      </w:pPr>
    </w:p>
    <w:p w14:paraId="5EFFFCB8" w14:textId="77777777" w:rsidR="00740B05" w:rsidRDefault="00740B05" w:rsidP="00654A06">
      <w:pPr>
        <w:spacing w:after="0" w:line="240" w:lineRule="auto"/>
        <w:jc w:val="both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</w:p>
    <w:p w14:paraId="126E11A9" w14:textId="77777777" w:rsidR="00740B05" w:rsidRDefault="00740B05" w:rsidP="00654A06">
      <w:pPr>
        <w:spacing w:after="0" w:line="240" w:lineRule="auto"/>
        <w:jc w:val="both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</w:p>
    <w:p w14:paraId="09086A99" w14:textId="77777777" w:rsidR="00740B05" w:rsidRDefault="00740B05" w:rsidP="00654A06">
      <w:pPr>
        <w:spacing w:after="0" w:line="240" w:lineRule="auto"/>
        <w:jc w:val="both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</w:p>
    <w:p w14:paraId="259E3E4B" w14:textId="77777777" w:rsidR="00740B05" w:rsidRDefault="00740B05" w:rsidP="00654A06">
      <w:pPr>
        <w:spacing w:after="0" w:line="240" w:lineRule="auto"/>
        <w:jc w:val="both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</w:p>
    <w:p w14:paraId="243C724E" w14:textId="77777777" w:rsidR="00740B05" w:rsidRDefault="00740B05" w:rsidP="00654A06">
      <w:pPr>
        <w:spacing w:after="0" w:line="240" w:lineRule="auto"/>
        <w:jc w:val="both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</w:p>
    <w:p w14:paraId="5B52EFDB" w14:textId="42C89657" w:rsidR="00654A06" w:rsidRPr="009346EF" w:rsidRDefault="00654A06" w:rsidP="00654A06">
      <w:pPr>
        <w:spacing w:after="0" w:line="240" w:lineRule="auto"/>
        <w:jc w:val="both"/>
        <w:rPr>
          <w:rFonts w:ascii="Calibri" w:hAnsi="Calibri" w:cs="Calibri"/>
          <w:b/>
          <w:bCs/>
          <w:color w:val="4A66AC" w:themeColor="accent1"/>
          <w:sz w:val="20"/>
          <w:szCs w:val="20"/>
          <w:u w:val="single"/>
        </w:rPr>
      </w:pPr>
      <w:r w:rsidRPr="009346EF">
        <w:rPr>
          <w:rFonts w:ascii="Calibri" w:hAnsi="Calibri" w:cs="Calibri"/>
          <w:b/>
          <w:bCs/>
          <w:color w:val="4A66AC" w:themeColor="accent1"/>
          <w:sz w:val="20"/>
          <w:szCs w:val="20"/>
          <w:u w:val="single"/>
        </w:rPr>
        <w:t>Sources:</w:t>
      </w:r>
    </w:p>
    <w:p w14:paraId="4B253B17" w14:textId="54F147E8" w:rsidR="00C023B7" w:rsidRPr="009346EF" w:rsidRDefault="00654A06" w:rsidP="00C023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color w:val="4A66AC" w:themeColor="accent1"/>
          <w:sz w:val="20"/>
          <w:szCs w:val="20"/>
        </w:rPr>
      </w:pPr>
      <w:r w:rsidRPr="009346EF">
        <w:rPr>
          <w:rFonts w:ascii="Calibri" w:hAnsi="Calibri" w:cs="Calibri"/>
          <w:color w:val="4A66AC" w:themeColor="accent1"/>
          <w:sz w:val="20"/>
          <w:szCs w:val="20"/>
        </w:rPr>
        <w:t xml:space="preserve">PitchBook:  </w:t>
      </w:r>
      <w:r w:rsidR="00C023B7" w:rsidRPr="009346EF">
        <w:rPr>
          <w:rFonts w:ascii="Calibri" w:hAnsi="Calibri" w:cs="Calibri"/>
          <w:color w:val="4A66AC" w:themeColor="accent1"/>
          <w:sz w:val="20"/>
          <w:szCs w:val="20"/>
        </w:rPr>
        <w:t xml:space="preserve">Q1 </w:t>
      </w:r>
      <w:r w:rsidRPr="009346EF">
        <w:rPr>
          <w:rFonts w:ascii="Calibri" w:hAnsi="Calibri" w:cs="Calibri"/>
          <w:color w:val="4A66AC" w:themeColor="accent1"/>
          <w:sz w:val="20"/>
          <w:szCs w:val="20"/>
        </w:rPr>
        <w:t xml:space="preserve">2026 </w:t>
      </w:r>
      <w:r w:rsidR="00C023B7" w:rsidRPr="009346EF">
        <w:rPr>
          <w:rFonts w:ascii="Calibri" w:hAnsi="Calibri" w:cs="Calibri"/>
          <w:color w:val="4A66AC" w:themeColor="accent1"/>
          <w:sz w:val="20"/>
          <w:szCs w:val="20"/>
        </w:rPr>
        <w:t>U.S. Private Equity Breakdo</w:t>
      </w:r>
      <w:r w:rsidR="00740B05" w:rsidRPr="009346EF">
        <w:rPr>
          <w:rFonts w:ascii="Calibri" w:hAnsi="Calibri" w:cs="Calibri"/>
          <w:color w:val="4A66AC" w:themeColor="accent1"/>
          <w:sz w:val="20"/>
          <w:szCs w:val="20"/>
        </w:rPr>
        <w:t>w</w:t>
      </w:r>
      <w:r w:rsidR="00C023B7" w:rsidRPr="009346EF">
        <w:rPr>
          <w:rFonts w:ascii="Calibri" w:hAnsi="Calibri" w:cs="Calibri"/>
          <w:color w:val="4A66AC" w:themeColor="accent1"/>
          <w:sz w:val="20"/>
          <w:szCs w:val="20"/>
        </w:rPr>
        <w:t>n.</w:t>
      </w:r>
    </w:p>
    <w:p w14:paraId="45092BC8" w14:textId="3DE81BB7" w:rsidR="00D12BF0" w:rsidRPr="009346EF" w:rsidRDefault="00740B05" w:rsidP="00555E5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color w:val="4A66AC" w:themeColor="accent1"/>
        </w:rPr>
      </w:pPr>
      <w:r w:rsidRPr="009346EF">
        <w:rPr>
          <w:rFonts w:ascii="Calibri" w:hAnsi="Calibri" w:cs="Calibri"/>
          <w:color w:val="4A66AC" w:themeColor="accent1"/>
          <w:sz w:val="20"/>
          <w:szCs w:val="20"/>
        </w:rPr>
        <w:t xml:space="preserve">PitchBook:  Q1 2026 Global M&amp;A Report. </w:t>
      </w:r>
    </w:p>
    <w:p w14:paraId="4026EA39" w14:textId="13E178AF" w:rsidR="00FB0B50" w:rsidRPr="009346EF" w:rsidRDefault="00FB0B50" w:rsidP="00555E5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color w:val="4A66AC" w:themeColor="accent1"/>
          <w:sz w:val="20"/>
          <w:szCs w:val="20"/>
        </w:rPr>
      </w:pPr>
      <w:r w:rsidRPr="009346EF">
        <w:rPr>
          <w:rFonts w:ascii="Calibri" w:hAnsi="Calibri" w:cs="Calibri"/>
          <w:color w:val="4A66AC" w:themeColor="accent1"/>
          <w:sz w:val="20"/>
          <w:szCs w:val="20"/>
        </w:rPr>
        <w:t>GF Data’s Q1 M&amp;A and Leverage Reports email May 2026.</w:t>
      </w:r>
    </w:p>
    <w:p w14:paraId="7326D98E" w14:textId="5B7DA778" w:rsidR="009346EF" w:rsidRPr="009346EF" w:rsidRDefault="009346EF" w:rsidP="009346EF">
      <w:pPr>
        <w:spacing w:after="0" w:line="240" w:lineRule="auto"/>
        <w:jc w:val="both"/>
        <w:rPr>
          <w:rFonts w:ascii="Calibri" w:hAnsi="Calibri" w:cs="Calibri"/>
          <w:color w:val="4A66AC" w:themeColor="accent1"/>
          <w:sz w:val="20"/>
          <w:szCs w:val="20"/>
        </w:rPr>
      </w:pPr>
      <w:r>
        <w:rPr>
          <w:rFonts w:ascii="Calibri" w:hAnsi="Calibri" w:cs="Calibri"/>
          <w:color w:val="4A66AC" w:themeColor="accent1"/>
          <w:sz w:val="20"/>
          <w:szCs w:val="20"/>
        </w:rPr>
        <w:t>*</w:t>
      </w:r>
      <w:r w:rsidRPr="009346EF">
        <w:rPr>
          <w:rFonts w:ascii="Calibri" w:hAnsi="Calibri" w:cs="Calibri"/>
          <w:color w:val="4A66AC" w:themeColor="accent1"/>
          <w:sz w:val="20"/>
          <w:szCs w:val="20"/>
        </w:rPr>
        <w:t>Calabasas Capital is a dba of Fallbrook Capital Securities Corp., member FINRA/SIPC. Securities offered through Fallbrook Capital.</w:t>
      </w:r>
    </w:p>
    <w:p w14:paraId="0337265D" w14:textId="77777777" w:rsidR="009346EF" w:rsidRPr="009346EF" w:rsidRDefault="009346EF" w:rsidP="009346E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sectPr w:rsidR="009346EF" w:rsidRPr="009346EF" w:rsidSect="00FB4242">
      <w:headerReference w:type="default" r:id="rId17"/>
      <w:pgSz w:w="12240" w:h="15840"/>
      <w:pgMar w:top="1198" w:right="720" w:bottom="270" w:left="3510" w:header="432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1697" w14:textId="77777777" w:rsidR="001D1BC4" w:rsidRDefault="001D1BC4">
      <w:pPr>
        <w:spacing w:after="0" w:line="240" w:lineRule="auto"/>
      </w:pPr>
      <w:r>
        <w:separator/>
      </w:r>
    </w:p>
  </w:endnote>
  <w:endnote w:type="continuationSeparator" w:id="0">
    <w:p w14:paraId="76C1C9BC" w14:textId="77777777" w:rsidR="001D1BC4" w:rsidRDefault="001D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KCVYH+Gotham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SS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2E8E" w14:textId="77777777" w:rsidR="001D1BC4" w:rsidRDefault="001D1BC4">
      <w:pPr>
        <w:spacing w:after="0" w:line="240" w:lineRule="auto"/>
      </w:pPr>
      <w:r>
        <w:separator/>
      </w:r>
    </w:p>
  </w:footnote>
  <w:footnote w:type="continuationSeparator" w:id="0">
    <w:p w14:paraId="0513995A" w14:textId="77777777" w:rsidR="001D1BC4" w:rsidRDefault="001D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7881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3E15DC" w14:textId="2BCC2E1F" w:rsidR="00130127" w:rsidRDefault="00130127">
        <w:pPr>
          <w:pStyle w:val="Header"/>
          <w:jc w:val="right"/>
        </w:pPr>
        <w:r w:rsidRPr="00705035">
          <w:rPr>
            <w:rFonts w:ascii="Calibri" w:hAnsi="Calibri" w:cs="Calibri"/>
            <w:noProof/>
            <w:sz w:val="20"/>
            <w:szCs w:val="20"/>
            <w:lang w:eastAsia="en-US"/>
          </w:rPr>
          <w:drawing>
            <wp:anchor distT="0" distB="0" distL="114300" distR="114300" simplePos="0" relativeHeight="251659264" behindDoc="0" locked="0" layoutInCell="1" allowOverlap="1" wp14:anchorId="114D0FC0" wp14:editId="3F7C26B6">
              <wp:simplePos x="0" y="0"/>
              <wp:positionH relativeFrom="margin">
                <wp:posOffset>-1994535</wp:posOffset>
              </wp:positionH>
              <wp:positionV relativeFrom="topMargin">
                <wp:align>bottom</wp:align>
              </wp:positionV>
              <wp:extent cx="2049145" cy="389255"/>
              <wp:effectExtent l="0" t="0" r="8255" b="0"/>
              <wp:wrapSquare wrapText="bothSides"/>
              <wp:docPr id="15" name="Picture 15" descr="/Users/Kevin/Desktop/3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/Users/Kevin/Desktop/34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4914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05035">
          <w:rPr>
            <w:rFonts w:ascii="Calibri" w:hAnsi="Calibri" w:cs="Calibri"/>
            <w:sz w:val="20"/>
            <w:szCs w:val="20"/>
          </w:rPr>
          <w:fldChar w:fldCharType="begin"/>
        </w:r>
        <w:r w:rsidRPr="00705035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705035">
          <w:rPr>
            <w:rFonts w:ascii="Calibri" w:hAnsi="Calibri" w:cs="Calibri"/>
            <w:sz w:val="20"/>
            <w:szCs w:val="20"/>
          </w:rPr>
          <w:fldChar w:fldCharType="separate"/>
        </w:r>
        <w:r w:rsidR="006D43A8" w:rsidRPr="00705035">
          <w:rPr>
            <w:rFonts w:ascii="Calibri" w:hAnsi="Calibri" w:cs="Calibri"/>
            <w:noProof/>
            <w:sz w:val="20"/>
            <w:szCs w:val="20"/>
          </w:rPr>
          <w:t>2</w:t>
        </w:r>
        <w:r w:rsidRPr="00705035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2728"/>
    <w:multiLevelType w:val="hybridMultilevel"/>
    <w:tmpl w:val="DEEC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8CB"/>
    <w:multiLevelType w:val="hybridMultilevel"/>
    <w:tmpl w:val="B980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72980"/>
    <w:multiLevelType w:val="hybridMultilevel"/>
    <w:tmpl w:val="28FA8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E518E"/>
    <w:multiLevelType w:val="hybridMultilevel"/>
    <w:tmpl w:val="E5F8D6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58D1622"/>
    <w:multiLevelType w:val="multilevel"/>
    <w:tmpl w:val="4D94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F01E0"/>
    <w:multiLevelType w:val="hybridMultilevel"/>
    <w:tmpl w:val="28D602D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D625335"/>
    <w:multiLevelType w:val="hybridMultilevel"/>
    <w:tmpl w:val="A5C043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D1669"/>
    <w:multiLevelType w:val="multilevel"/>
    <w:tmpl w:val="E000F1C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B55CF7"/>
    <w:multiLevelType w:val="hybridMultilevel"/>
    <w:tmpl w:val="8EC0D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E6AB4"/>
    <w:multiLevelType w:val="multilevel"/>
    <w:tmpl w:val="4D94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406BB6"/>
    <w:multiLevelType w:val="multilevel"/>
    <w:tmpl w:val="E178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3856">
    <w:abstractNumId w:val="6"/>
  </w:num>
  <w:num w:numId="2" w16cid:durableId="464393037">
    <w:abstractNumId w:val="8"/>
  </w:num>
  <w:num w:numId="3" w16cid:durableId="1414931960">
    <w:abstractNumId w:val="1"/>
  </w:num>
  <w:num w:numId="4" w16cid:durableId="1933002378">
    <w:abstractNumId w:val="7"/>
  </w:num>
  <w:num w:numId="5" w16cid:durableId="1012680922">
    <w:abstractNumId w:val="4"/>
  </w:num>
  <w:num w:numId="6" w16cid:durableId="1000963610">
    <w:abstractNumId w:val="10"/>
  </w:num>
  <w:num w:numId="7" w16cid:durableId="459619087">
    <w:abstractNumId w:val="9"/>
  </w:num>
  <w:num w:numId="8" w16cid:durableId="237401227">
    <w:abstractNumId w:val="5"/>
  </w:num>
  <w:num w:numId="9" w16cid:durableId="751388403">
    <w:abstractNumId w:val="3"/>
  </w:num>
  <w:num w:numId="10" w16cid:durableId="247887256">
    <w:abstractNumId w:val="0"/>
  </w:num>
  <w:num w:numId="11" w16cid:durableId="140765010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28"/>
    <w:rsid w:val="0000011B"/>
    <w:rsid w:val="000047D3"/>
    <w:rsid w:val="000056A2"/>
    <w:rsid w:val="00014F56"/>
    <w:rsid w:val="00015150"/>
    <w:rsid w:val="00016311"/>
    <w:rsid w:val="0002283A"/>
    <w:rsid w:val="00024B6C"/>
    <w:rsid w:val="00027A3E"/>
    <w:rsid w:val="00027CA1"/>
    <w:rsid w:val="00033066"/>
    <w:rsid w:val="0003414A"/>
    <w:rsid w:val="00035988"/>
    <w:rsid w:val="00037FA6"/>
    <w:rsid w:val="00040AF8"/>
    <w:rsid w:val="00040DAD"/>
    <w:rsid w:val="00052A6A"/>
    <w:rsid w:val="00053CC8"/>
    <w:rsid w:val="00054FC9"/>
    <w:rsid w:val="00055032"/>
    <w:rsid w:val="00056D0A"/>
    <w:rsid w:val="00057EBC"/>
    <w:rsid w:val="00061BE8"/>
    <w:rsid w:val="000717A2"/>
    <w:rsid w:val="0007273E"/>
    <w:rsid w:val="00074C8E"/>
    <w:rsid w:val="00075FB8"/>
    <w:rsid w:val="00077A4A"/>
    <w:rsid w:val="0008009A"/>
    <w:rsid w:val="00081DE4"/>
    <w:rsid w:val="000863A6"/>
    <w:rsid w:val="0009069F"/>
    <w:rsid w:val="000979FD"/>
    <w:rsid w:val="000A0CEA"/>
    <w:rsid w:val="000A67D5"/>
    <w:rsid w:val="000B2409"/>
    <w:rsid w:val="000B5145"/>
    <w:rsid w:val="000B53CE"/>
    <w:rsid w:val="000B6DCF"/>
    <w:rsid w:val="000C0240"/>
    <w:rsid w:val="000C3E24"/>
    <w:rsid w:val="000C6FB6"/>
    <w:rsid w:val="000D1BEB"/>
    <w:rsid w:val="000D36E8"/>
    <w:rsid w:val="000D3F56"/>
    <w:rsid w:val="000D4783"/>
    <w:rsid w:val="000E40EA"/>
    <w:rsid w:val="000E5ABE"/>
    <w:rsid w:val="000E6252"/>
    <w:rsid w:val="000E7739"/>
    <w:rsid w:val="000F4080"/>
    <w:rsid w:val="000F457C"/>
    <w:rsid w:val="000F46C4"/>
    <w:rsid w:val="000F4C66"/>
    <w:rsid w:val="00104330"/>
    <w:rsid w:val="0010455A"/>
    <w:rsid w:val="0010489E"/>
    <w:rsid w:val="00107CFF"/>
    <w:rsid w:val="00111563"/>
    <w:rsid w:val="00114E4B"/>
    <w:rsid w:val="00115E31"/>
    <w:rsid w:val="00130127"/>
    <w:rsid w:val="001328B2"/>
    <w:rsid w:val="00132E80"/>
    <w:rsid w:val="00133C76"/>
    <w:rsid w:val="00136973"/>
    <w:rsid w:val="001412AC"/>
    <w:rsid w:val="00146D65"/>
    <w:rsid w:val="001473F4"/>
    <w:rsid w:val="00151E09"/>
    <w:rsid w:val="00167CBC"/>
    <w:rsid w:val="00170894"/>
    <w:rsid w:val="00171436"/>
    <w:rsid w:val="00175415"/>
    <w:rsid w:val="00181CB1"/>
    <w:rsid w:val="00183096"/>
    <w:rsid w:val="00185A1E"/>
    <w:rsid w:val="001863E5"/>
    <w:rsid w:val="0019254D"/>
    <w:rsid w:val="00192D7D"/>
    <w:rsid w:val="001A192F"/>
    <w:rsid w:val="001A27FD"/>
    <w:rsid w:val="001A5AD9"/>
    <w:rsid w:val="001A6BE6"/>
    <w:rsid w:val="001B2D67"/>
    <w:rsid w:val="001B3593"/>
    <w:rsid w:val="001B5668"/>
    <w:rsid w:val="001B7950"/>
    <w:rsid w:val="001C1EEE"/>
    <w:rsid w:val="001C313B"/>
    <w:rsid w:val="001D13E8"/>
    <w:rsid w:val="001D1BC4"/>
    <w:rsid w:val="001D36DD"/>
    <w:rsid w:val="001E47A2"/>
    <w:rsid w:val="001E556F"/>
    <w:rsid w:val="001E571A"/>
    <w:rsid w:val="001E5F02"/>
    <w:rsid w:val="001E7C30"/>
    <w:rsid w:val="001F3FB1"/>
    <w:rsid w:val="0020135B"/>
    <w:rsid w:val="002031C1"/>
    <w:rsid w:val="002162B6"/>
    <w:rsid w:val="00220B1E"/>
    <w:rsid w:val="00227A73"/>
    <w:rsid w:val="00235231"/>
    <w:rsid w:val="00235DA6"/>
    <w:rsid w:val="0023788C"/>
    <w:rsid w:val="00237B4B"/>
    <w:rsid w:val="00237BC4"/>
    <w:rsid w:val="002401AF"/>
    <w:rsid w:val="00244831"/>
    <w:rsid w:val="00247247"/>
    <w:rsid w:val="00254676"/>
    <w:rsid w:val="00254CE4"/>
    <w:rsid w:val="002561CE"/>
    <w:rsid w:val="002701C5"/>
    <w:rsid w:val="002738E5"/>
    <w:rsid w:val="002824B9"/>
    <w:rsid w:val="00282BBE"/>
    <w:rsid w:val="00283A86"/>
    <w:rsid w:val="00287CC3"/>
    <w:rsid w:val="002928B6"/>
    <w:rsid w:val="00293446"/>
    <w:rsid w:val="00295E50"/>
    <w:rsid w:val="0029768C"/>
    <w:rsid w:val="002A0234"/>
    <w:rsid w:val="002A04F2"/>
    <w:rsid w:val="002A0F5A"/>
    <w:rsid w:val="002A11BE"/>
    <w:rsid w:val="002B0EB4"/>
    <w:rsid w:val="002B3F77"/>
    <w:rsid w:val="002B4C6E"/>
    <w:rsid w:val="002B509D"/>
    <w:rsid w:val="002B6FF3"/>
    <w:rsid w:val="002C0BBE"/>
    <w:rsid w:val="002C28C6"/>
    <w:rsid w:val="002C5F6C"/>
    <w:rsid w:val="002C7EA4"/>
    <w:rsid w:val="002D236F"/>
    <w:rsid w:val="002D6C98"/>
    <w:rsid w:val="002E46B3"/>
    <w:rsid w:val="002E505F"/>
    <w:rsid w:val="002E5FC4"/>
    <w:rsid w:val="002E7BDC"/>
    <w:rsid w:val="002F3113"/>
    <w:rsid w:val="003026DE"/>
    <w:rsid w:val="00305B6E"/>
    <w:rsid w:val="003072EA"/>
    <w:rsid w:val="00314859"/>
    <w:rsid w:val="00320903"/>
    <w:rsid w:val="00322E01"/>
    <w:rsid w:val="00327B4E"/>
    <w:rsid w:val="00332330"/>
    <w:rsid w:val="00333C76"/>
    <w:rsid w:val="003343AE"/>
    <w:rsid w:val="00340A35"/>
    <w:rsid w:val="00341742"/>
    <w:rsid w:val="003434EB"/>
    <w:rsid w:val="00347AB5"/>
    <w:rsid w:val="00352782"/>
    <w:rsid w:val="003629B7"/>
    <w:rsid w:val="00364D39"/>
    <w:rsid w:val="00366887"/>
    <w:rsid w:val="00366D66"/>
    <w:rsid w:val="00366F92"/>
    <w:rsid w:val="0037001F"/>
    <w:rsid w:val="00372134"/>
    <w:rsid w:val="0037341D"/>
    <w:rsid w:val="0037695C"/>
    <w:rsid w:val="00376C64"/>
    <w:rsid w:val="00380B67"/>
    <w:rsid w:val="003819F1"/>
    <w:rsid w:val="0038684C"/>
    <w:rsid w:val="00390F68"/>
    <w:rsid w:val="003926CF"/>
    <w:rsid w:val="00397391"/>
    <w:rsid w:val="003A06FB"/>
    <w:rsid w:val="003A189C"/>
    <w:rsid w:val="003A6CF5"/>
    <w:rsid w:val="003B2CEF"/>
    <w:rsid w:val="003B6AD8"/>
    <w:rsid w:val="003C1203"/>
    <w:rsid w:val="003C4C80"/>
    <w:rsid w:val="003D2A4D"/>
    <w:rsid w:val="003D4B02"/>
    <w:rsid w:val="003D67F6"/>
    <w:rsid w:val="003D729D"/>
    <w:rsid w:val="003E56D4"/>
    <w:rsid w:val="003F1786"/>
    <w:rsid w:val="003F1F3F"/>
    <w:rsid w:val="003F363F"/>
    <w:rsid w:val="0040079D"/>
    <w:rsid w:val="00402780"/>
    <w:rsid w:val="0040446F"/>
    <w:rsid w:val="004044BE"/>
    <w:rsid w:val="00405203"/>
    <w:rsid w:val="004077C5"/>
    <w:rsid w:val="004105C4"/>
    <w:rsid w:val="00412AD3"/>
    <w:rsid w:val="0041510C"/>
    <w:rsid w:val="00421DCE"/>
    <w:rsid w:val="00422579"/>
    <w:rsid w:val="00427A79"/>
    <w:rsid w:val="00433184"/>
    <w:rsid w:val="00435D4A"/>
    <w:rsid w:val="0044218D"/>
    <w:rsid w:val="004463DD"/>
    <w:rsid w:val="00451826"/>
    <w:rsid w:val="00452615"/>
    <w:rsid w:val="004544B3"/>
    <w:rsid w:val="00455F2B"/>
    <w:rsid w:val="0045793F"/>
    <w:rsid w:val="00460845"/>
    <w:rsid w:val="00463F18"/>
    <w:rsid w:val="004649EF"/>
    <w:rsid w:val="0047697C"/>
    <w:rsid w:val="00477D3B"/>
    <w:rsid w:val="00480CAC"/>
    <w:rsid w:val="00482667"/>
    <w:rsid w:val="00486F24"/>
    <w:rsid w:val="004929B1"/>
    <w:rsid w:val="00493E87"/>
    <w:rsid w:val="00495D03"/>
    <w:rsid w:val="004A098F"/>
    <w:rsid w:val="004A0C6C"/>
    <w:rsid w:val="004A613C"/>
    <w:rsid w:val="004B1B11"/>
    <w:rsid w:val="004C20BC"/>
    <w:rsid w:val="004C262E"/>
    <w:rsid w:val="004C6196"/>
    <w:rsid w:val="004D042B"/>
    <w:rsid w:val="004D1ACC"/>
    <w:rsid w:val="004D21BA"/>
    <w:rsid w:val="004D2841"/>
    <w:rsid w:val="004E1512"/>
    <w:rsid w:val="004E4A9B"/>
    <w:rsid w:val="004E54C3"/>
    <w:rsid w:val="004E7CA2"/>
    <w:rsid w:val="004F1828"/>
    <w:rsid w:val="004F6030"/>
    <w:rsid w:val="00500BAB"/>
    <w:rsid w:val="00502878"/>
    <w:rsid w:val="00502E54"/>
    <w:rsid w:val="00503955"/>
    <w:rsid w:val="0050438C"/>
    <w:rsid w:val="00507115"/>
    <w:rsid w:val="0051049B"/>
    <w:rsid w:val="00513983"/>
    <w:rsid w:val="00513B5B"/>
    <w:rsid w:val="005203FC"/>
    <w:rsid w:val="00524D9F"/>
    <w:rsid w:val="0052514F"/>
    <w:rsid w:val="00531446"/>
    <w:rsid w:val="00541073"/>
    <w:rsid w:val="0054213E"/>
    <w:rsid w:val="005425B4"/>
    <w:rsid w:val="005432DE"/>
    <w:rsid w:val="00544FF6"/>
    <w:rsid w:val="0055143B"/>
    <w:rsid w:val="00553578"/>
    <w:rsid w:val="00554EAF"/>
    <w:rsid w:val="00560C47"/>
    <w:rsid w:val="00567F75"/>
    <w:rsid w:val="005719C9"/>
    <w:rsid w:val="00575081"/>
    <w:rsid w:val="005835A8"/>
    <w:rsid w:val="005844C0"/>
    <w:rsid w:val="005858A3"/>
    <w:rsid w:val="00586B14"/>
    <w:rsid w:val="005871DC"/>
    <w:rsid w:val="00592ABE"/>
    <w:rsid w:val="0059600E"/>
    <w:rsid w:val="005A152B"/>
    <w:rsid w:val="005B1213"/>
    <w:rsid w:val="005B396F"/>
    <w:rsid w:val="005B3A3E"/>
    <w:rsid w:val="005B654B"/>
    <w:rsid w:val="005B6966"/>
    <w:rsid w:val="005B7CC5"/>
    <w:rsid w:val="005C02C0"/>
    <w:rsid w:val="005C223A"/>
    <w:rsid w:val="005C606B"/>
    <w:rsid w:val="005C695E"/>
    <w:rsid w:val="005D5FCA"/>
    <w:rsid w:val="005E15A6"/>
    <w:rsid w:val="005E213D"/>
    <w:rsid w:val="005E333E"/>
    <w:rsid w:val="005E3A35"/>
    <w:rsid w:val="005E6E8B"/>
    <w:rsid w:val="005F1B9E"/>
    <w:rsid w:val="005F1E12"/>
    <w:rsid w:val="005F56AF"/>
    <w:rsid w:val="005F56E7"/>
    <w:rsid w:val="005F5E9C"/>
    <w:rsid w:val="0060130D"/>
    <w:rsid w:val="00611D9D"/>
    <w:rsid w:val="0061261A"/>
    <w:rsid w:val="0061291E"/>
    <w:rsid w:val="00620CEA"/>
    <w:rsid w:val="006261A0"/>
    <w:rsid w:val="00640924"/>
    <w:rsid w:val="00641DE7"/>
    <w:rsid w:val="00642EE9"/>
    <w:rsid w:val="00646C14"/>
    <w:rsid w:val="0065019E"/>
    <w:rsid w:val="00651DAE"/>
    <w:rsid w:val="00654A06"/>
    <w:rsid w:val="00657F01"/>
    <w:rsid w:val="006615D6"/>
    <w:rsid w:val="00664E32"/>
    <w:rsid w:val="00665EB0"/>
    <w:rsid w:val="006670FD"/>
    <w:rsid w:val="0066752C"/>
    <w:rsid w:val="006677A8"/>
    <w:rsid w:val="00667AF0"/>
    <w:rsid w:val="00667FA4"/>
    <w:rsid w:val="006720B5"/>
    <w:rsid w:val="006766D2"/>
    <w:rsid w:val="00676A6C"/>
    <w:rsid w:val="006806FF"/>
    <w:rsid w:val="00681552"/>
    <w:rsid w:val="00681C13"/>
    <w:rsid w:val="00683255"/>
    <w:rsid w:val="00683E0F"/>
    <w:rsid w:val="00684939"/>
    <w:rsid w:val="0069053B"/>
    <w:rsid w:val="006964BD"/>
    <w:rsid w:val="006A3D7B"/>
    <w:rsid w:val="006B0731"/>
    <w:rsid w:val="006B11EE"/>
    <w:rsid w:val="006B3CCD"/>
    <w:rsid w:val="006B731A"/>
    <w:rsid w:val="006C0C09"/>
    <w:rsid w:val="006C3D40"/>
    <w:rsid w:val="006C6E75"/>
    <w:rsid w:val="006D06CE"/>
    <w:rsid w:val="006D2446"/>
    <w:rsid w:val="006D43A8"/>
    <w:rsid w:val="006D61B7"/>
    <w:rsid w:val="006D6ADB"/>
    <w:rsid w:val="006E05F1"/>
    <w:rsid w:val="006E0C4B"/>
    <w:rsid w:val="006E362F"/>
    <w:rsid w:val="006E376A"/>
    <w:rsid w:val="006E3991"/>
    <w:rsid w:val="006E62CB"/>
    <w:rsid w:val="006E66CD"/>
    <w:rsid w:val="006E6C33"/>
    <w:rsid w:val="006F0D86"/>
    <w:rsid w:val="006F12FB"/>
    <w:rsid w:val="006F22DD"/>
    <w:rsid w:val="006F659C"/>
    <w:rsid w:val="006F6725"/>
    <w:rsid w:val="006F79C4"/>
    <w:rsid w:val="00700B7A"/>
    <w:rsid w:val="00701CE8"/>
    <w:rsid w:val="0070340D"/>
    <w:rsid w:val="00705035"/>
    <w:rsid w:val="00705039"/>
    <w:rsid w:val="0070532A"/>
    <w:rsid w:val="007054A4"/>
    <w:rsid w:val="00715D76"/>
    <w:rsid w:val="00721BB1"/>
    <w:rsid w:val="00721FDF"/>
    <w:rsid w:val="007236EF"/>
    <w:rsid w:val="007260F8"/>
    <w:rsid w:val="00730C70"/>
    <w:rsid w:val="007315D5"/>
    <w:rsid w:val="00736578"/>
    <w:rsid w:val="00740B05"/>
    <w:rsid w:val="00745656"/>
    <w:rsid w:val="00746FD3"/>
    <w:rsid w:val="00747C77"/>
    <w:rsid w:val="00750182"/>
    <w:rsid w:val="007514D1"/>
    <w:rsid w:val="00757535"/>
    <w:rsid w:val="007626FB"/>
    <w:rsid w:val="007845C8"/>
    <w:rsid w:val="00784DD3"/>
    <w:rsid w:val="007943A5"/>
    <w:rsid w:val="007943D1"/>
    <w:rsid w:val="0079725F"/>
    <w:rsid w:val="00797F92"/>
    <w:rsid w:val="007A0E38"/>
    <w:rsid w:val="007A1329"/>
    <w:rsid w:val="007A3F65"/>
    <w:rsid w:val="007A661C"/>
    <w:rsid w:val="007B0718"/>
    <w:rsid w:val="007B12EB"/>
    <w:rsid w:val="007B17CA"/>
    <w:rsid w:val="007B7190"/>
    <w:rsid w:val="007C4450"/>
    <w:rsid w:val="007D26B2"/>
    <w:rsid w:val="007D4AA1"/>
    <w:rsid w:val="007D56FF"/>
    <w:rsid w:val="007E041A"/>
    <w:rsid w:val="007E0CF4"/>
    <w:rsid w:val="007E17AD"/>
    <w:rsid w:val="007E3236"/>
    <w:rsid w:val="007E354A"/>
    <w:rsid w:val="007E7636"/>
    <w:rsid w:val="007F1364"/>
    <w:rsid w:val="007F21D2"/>
    <w:rsid w:val="007F2F32"/>
    <w:rsid w:val="007F337E"/>
    <w:rsid w:val="007F3A92"/>
    <w:rsid w:val="007F6919"/>
    <w:rsid w:val="007F69E9"/>
    <w:rsid w:val="007F7A31"/>
    <w:rsid w:val="007F7E0C"/>
    <w:rsid w:val="0080423F"/>
    <w:rsid w:val="00805289"/>
    <w:rsid w:val="0080566E"/>
    <w:rsid w:val="00806A27"/>
    <w:rsid w:val="00806D4D"/>
    <w:rsid w:val="00811D12"/>
    <w:rsid w:val="00812C5D"/>
    <w:rsid w:val="00812DF9"/>
    <w:rsid w:val="00816103"/>
    <w:rsid w:val="008167F2"/>
    <w:rsid w:val="00822F0A"/>
    <w:rsid w:val="0082351C"/>
    <w:rsid w:val="00826531"/>
    <w:rsid w:val="00826C32"/>
    <w:rsid w:val="0082707E"/>
    <w:rsid w:val="008314E5"/>
    <w:rsid w:val="00831B8F"/>
    <w:rsid w:val="00832898"/>
    <w:rsid w:val="0084113C"/>
    <w:rsid w:val="008418FF"/>
    <w:rsid w:val="00841D25"/>
    <w:rsid w:val="0084331D"/>
    <w:rsid w:val="008473D9"/>
    <w:rsid w:val="00847645"/>
    <w:rsid w:val="008477B2"/>
    <w:rsid w:val="00853DBB"/>
    <w:rsid w:val="00854C65"/>
    <w:rsid w:val="008566F9"/>
    <w:rsid w:val="008579C6"/>
    <w:rsid w:val="00862E8C"/>
    <w:rsid w:val="00864C4B"/>
    <w:rsid w:val="00865B5D"/>
    <w:rsid w:val="008734A5"/>
    <w:rsid w:val="00877929"/>
    <w:rsid w:val="0088263E"/>
    <w:rsid w:val="00892408"/>
    <w:rsid w:val="00897F2C"/>
    <w:rsid w:val="008A17A4"/>
    <w:rsid w:val="008A44DD"/>
    <w:rsid w:val="008A6E31"/>
    <w:rsid w:val="008B282A"/>
    <w:rsid w:val="008B33A8"/>
    <w:rsid w:val="008B5243"/>
    <w:rsid w:val="008B608F"/>
    <w:rsid w:val="008B633B"/>
    <w:rsid w:val="008B6CF6"/>
    <w:rsid w:val="008C3956"/>
    <w:rsid w:val="008C5311"/>
    <w:rsid w:val="008C7981"/>
    <w:rsid w:val="008D34B1"/>
    <w:rsid w:val="008D781E"/>
    <w:rsid w:val="008E02E5"/>
    <w:rsid w:val="008E04A0"/>
    <w:rsid w:val="008E0C56"/>
    <w:rsid w:val="008E22EB"/>
    <w:rsid w:val="008E28A3"/>
    <w:rsid w:val="008E5BF9"/>
    <w:rsid w:val="008F218A"/>
    <w:rsid w:val="00902DA9"/>
    <w:rsid w:val="0090544A"/>
    <w:rsid w:val="009058C4"/>
    <w:rsid w:val="009063A6"/>
    <w:rsid w:val="009119F6"/>
    <w:rsid w:val="00913A02"/>
    <w:rsid w:val="00914858"/>
    <w:rsid w:val="009149F1"/>
    <w:rsid w:val="00915988"/>
    <w:rsid w:val="0091691A"/>
    <w:rsid w:val="009213AA"/>
    <w:rsid w:val="00926632"/>
    <w:rsid w:val="00926D72"/>
    <w:rsid w:val="00930A6E"/>
    <w:rsid w:val="00931006"/>
    <w:rsid w:val="00934112"/>
    <w:rsid w:val="009346EF"/>
    <w:rsid w:val="00935280"/>
    <w:rsid w:val="009361FC"/>
    <w:rsid w:val="00936311"/>
    <w:rsid w:val="0094079D"/>
    <w:rsid w:val="00943113"/>
    <w:rsid w:val="0094483F"/>
    <w:rsid w:val="0094624F"/>
    <w:rsid w:val="0094796B"/>
    <w:rsid w:val="00950467"/>
    <w:rsid w:val="00951A50"/>
    <w:rsid w:val="009526D9"/>
    <w:rsid w:val="00954EE5"/>
    <w:rsid w:val="00970F61"/>
    <w:rsid w:val="009719C5"/>
    <w:rsid w:val="00976822"/>
    <w:rsid w:val="0098319B"/>
    <w:rsid w:val="00991A43"/>
    <w:rsid w:val="0099495A"/>
    <w:rsid w:val="009955F5"/>
    <w:rsid w:val="009A02C7"/>
    <w:rsid w:val="009A1DC0"/>
    <w:rsid w:val="009A2860"/>
    <w:rsid w:val="009A3481"/>
    <w:rsid w:val="009A3C7F"/>
    <w:rsid w:val="009A66ED"/>
    <w:rsid w:val="009B1FF6"/>
    <w:rsid w:val="009B2791"/>
    <w:rsid w:val="009B3550"/>
    <w:rsid w:val="009B6535"/>
    <w:rsid w:val="009C5DBF"/>
    <w:rsid w:val="009C7AF9"/>
    <w:rsid w:val="009D0102"/>
    <w:rsid w:val="009D0994"/>
    <w:rsid w:val="009D43F4"/>
    <w:rsid w:val="009D6114"/>
    <w:rsid w:val="009D72DF"/>
    <w:rsid w:val="009D79C6"/>
    <w:rsid w:val="009E3049"/>
    <w:rsid w:val="009E4527"/>
    <w:rsid w:val="009E60E2"/>
    <w:rsid w:val="009E6D15"/>
    <w:rsid w:val="009E7F13"/>
    <w:rsid w:val="009F1629"/>
    <w:rsid w:val="009F1768"/>
    <w:rsid w:val="00A010F2"/>
    <w:rsid w:val="00A06A82"/>
    <w:rsid w:val="00A07371"/>
    <w:rsid w:val="00A1102B"/>
    <w:rsid w:val="00A12D70"/>
    <w:rsid w:val="00A15916"/>
    <w:rsid w:val="00A23CB9"/>
    <w:rsid w:val="00A23DE9"/>
    <w:rsid w:val="00A25296"/>
    <w:rsid w:val="00A26695"/>
    <w:rsid w:val="00A309AF"/>
    <w:rsid w:val="00A40234"/>
    <w:rsid w:val="00A4039B"/>
    <w:rsid w:val="00A41AD7"/>
    <w:rsid w:val="00A433D3"/>
    <w:rsid w:val="00A433F8"/>
    <w:rsid w:val="00A4414E"/>
    <w:rsid w:val="00A4783B"/>
    <w:rsid w:val="00A50C8A"/>
    <w:rsid w:val="00A521B2"/>
    <w:rsid w:val="00A52C53"/>
    <w:rsid w:val="00A547D4"/>
    <w:rsid w:val="00A612CC"/>
    <w:rsid w:val="00A615CB"/>
    <w:rsid w:val="00A61889"/>
    <w:rsid w:val="00A669F5"/>
    <w:rsid w:val="00A73D17"/>
    <w:rsid w:val="00A83AC6"/>
    <w:rsid w:val="00A842B1"/>
    <w:rsid w:val="00A95ABF"/>
    <w:rsid w:val="00AA0EAB"/>
    <w:rsid w:val="00AA3414"/>
    <w:rsid w:val="00AA4474"/>
    <w:rsid w:val="00AA5F4E"/>
    <w:rsid w:val="00AB0943"/>
    <w:rsid w:val="00AB18E8"/>
    <w:rsid w:val="00AB3AEA"/>
    <w:rsid w:val="00AB4112"/>
    <w:rsid w:val="00AB4A0C"/>
    <w:rsid w:val="00AB4FCF"/>
    <w:rsid w:val="00AB62F9"/>
    <w:rsid w:val="00AC7427"/>
    <w:rsid w:val="00AD029A"/>
    <w:rsid w:val="00AD1A80"/>
    <w:rsid w:val="00AD69EB"/>
    <w:rsid w:val="00AD7130"/>
    <w:rsid w:val="00AD7E1F"/>
    <w:rsid w:val="00AE4620"/>
    <w:rsid w:val="00AF22B5"/>
    <w:rsid w:val="00AF2976"/>
    <w:rsid w:val="00B03266"/>
    <w:rsid w:val="00B04A31"/>
    <w:rsid w:val="00B22086"/>
    <w:rsid w:val="00B25929"/>
    <w:rsid w:val="00B27062"/>
    <w:rsid w:val="00B37BC6"/>
    <w:rsid w:val="00B43FF0"/>
    <w:rsid w:val="00B44482"/>
    <w:rsid w:val="00B51F11"/>
    <w:rsid w:val="00B5304F"/>
    <w:rsid w:val="00B53A07"/>
    <w:rsid w:val="00B540D7"/>
    <w:rsid w:val="00B57052"/>
    <w:rsid w:val="00B60AEE"/>
    <w:rsid w:val="00B61761"/>
    <w:rsid w:val="00B61A3D"/>
    <w:rsid w:val="00B63A2F"/>
    <w:rsid w:val="00B63DF6"/>
    <w:rsid w:val="00B64FD5"/>
    <w:rsid w:val="00B66D3F"/>
    <w:rsid w:val="00B74058"/>
    <w:rsid w:val="00B76163"/>
    <w:rsid w:val="00B7708B"/>
    <w:rsid w:val="00B85BBE"/>
    <w:rsid w:val="00B92E86"/>
    <w:rsid w:val="00B937B5"/>
    <w:rsid w:val="00B93BF8"/>
    <w:rsid w:val="00B95201"/>
    <w:rsid w:val="00B96BC8"/>
    <w:rsid w:val="00B97A2D"/>
    <w:rsid w:val="00BA1927"/>
    <w:rsid w:val="00BA1FBF"/>
    <w:rsid w:val="00BA37C3"/>
    <w:rsid w:val="00BA3D65"/>
    <w:rsid w:val="00BA3E3A"/>
    <w:rsid w:val="00BA4E0A"/>
    <w:rsid w:val="00BA61A8"/>
    <w:rsid w:val="00BB0774"/>
    <w:rsid w:val="00BB365F"/>
    <w:rsid w:val="00BB512E"/>
    <w:rsid w:val="00BC3038"/>
    <w:rsid w:val="00BC3889"/>
    <w:rsid w:val="00BD0DE9"/>
    <w:rsid w:val="00BD63C6"/>
    <w:rsid w:val="00BE1AC8"/>
    <w:rsid w:val="00BE2D8C"/>
    <w:rsid w:val="00BE3FBB"/>
    <w:rsid w:val="00BE4BF6"/>
    <w:rsid w:val="00BF07E1"/>
    <w:rsid w:val="00BF2351"/>
    <w:rsid w:val="00BF37EC"/>
    <w:rsid w:val="00C017F0"/>
    <w:rsid w:val="00C023B7"/>
    <w:rsid w:val="00C03E50"/>
    <w:rsid w:val="00C03E7F"/>
    <w:rsid w:val="00C12865"/>
    <w:rsid w:val="00C12A80"/>
    <w:rsid w:val="00C14274"/>
    <w:rsid w:val="00C14783"/>
    <w:rsid w:val="00C2074E"/>
    <w:rsid w:val="00C22347"/>
    <w:rsid w:val="00C44237"/>
    <w:rsid w:val="00C5434B"/>
    <w:rsid w:val="00C54564"/>
    <w:rsid w:val="00C56A4C"/>
    <w:rsid w:val="00C6070D"/>
    <w:rsid w:val="00C60D23"/>
    <w:rsid w:val="00C6465D"/>
    <w:rsid w:val="00C70F65"/>
    <w:rsid w:val="00C725B6"/>
    <w:rsid w:val="00C7351F"/>
    <w:rsid w:val="00C738AA"/>
    <w:rsid w:val="00C756A3"/>
    <w:rsid w:val="00C757FB"/>
    <w:rsid w:val="00C81010"/>
    <w:rsid w:val="00C947A7"/>
    <w:rsid w:val="00CA3A5B"/>
    <w:rsid w:val="00CA5641"/>
    <w:rsid w:val="00CA5DDC"/>
    <w:rsid w:val="00CB232E"/>
    <w:rsid w:val="00CB273B"/>
    <w:rsid w:val="00CB4722"/>
    <w:rsid w:val="00CC1B3B"/>
    <w:rsid w:val="00CC3450"/>
    <w:rsid w:val="00CC4A32"/>
    <w:rsid w:val="00CC59BA"/>
    <w:rsid w:val="00CC6A00"/>
    <w:rsid w:val="00CC7BEE"/>
    <w:rsid w:val="00CD2140"/>
    <w:rsid w:val="00CD4E33"/>
    <w:rsid w:val="00CD7C14"/>
    <w:rsid w:val="00CD7D8C"/>
    <w:rsid w:val="00CE34E0"/>
    <w:rsid w:val="00CE3CDE"/>
    <w:rsid w:val="00CE417E"/>
    <w:rsid w:val="00CF0402"/>
    <w:rsid w:val="00CF0756"/>
    <w:rsid w:val="00CF1F88"/>
    <w:rsid w:val="00CF2081"/>
    <w:rsid w:val="00CF7C13"/>
    <w:rsid w:val="00D01695"/>
    <w:rsid w:val="00D02BDE"/>
    <w:rsid w:val="00D03924"/>
    <w:rsid w:val="00D04B4E"/>
    <w:rsid w:val="00D05AA6"/>
    <w:rsid w:val="00D06200"/>
    <w:rsid w:val="00D06EAA"/>
    <w:rsid w:val="00D0761A"/>
    <w:rsid w:val="00D07DD0"/>
    <w:rsid w:val="00D10B2E"/>
    <w:rsid w:val="00D12BF0"/>
    <w:rsid w:val="00D15850"/>
    <w:rsid w:val="00D20ACC"/>
    <w:rsid w:val="00D272EC"/>
    <w:rsid w:val="00D353C5"/>
    <w:rsid w:val="00D3761E"/>
    <w:rsid w:val="00D43895"/>
    <w:rsid w:val="00D44600"/>
    <w:rsid w:val="00D44CEF"/>
    <w:rsid w:val="00D51768"/>
    <w:rsid w:val="00D566C8"/>
    <w:rsid w:val="00D67833"/>
    <w:rsid w:val="00D70E3E"/>
    <w:rsid w:val="00D7199F"/>
    <w:rsid w:val="00D756F0"/>
    <w:rsid w:val="00D75F93"/>
    <w:rsid w:val="00D7769E"/>
    <w:rsid w:val="00D8425B"/>
    <w:rsid w:val="00D90D29"/>
    <w:rsid w:val="00DA12A2"/>
    <w:rsid w:val="00DA13E4"/>
    <w:rsid w:val="00DA7F30"/>
    <w:rsid w:val="00DB0D35"/>
    <w:rsid w:val="00DB1977"/>
    <w:rsid w:val="00DB2104"/>
    <w:rsid w:val="00DB2258"/>
    <w:rsid w:val="00DB520A"/>
    <w:rsid w:val="00DC0BB5"/>
    <w:rsid w:val="00DC1A4B"/>
    <w:rsid w:val="00DC6A01"/>
    <w:rsid w:val="00DC7D07"/>
    <w:rsid w:val="00DD2289"/>
    <w:rsid w:val="00DD4CBC"/>
    <w:rsid w:val="00DE2CE7"/>
    <w:rsid w:val="00DE6E15"/>
    <w:rsid w:val="00DE743F"/>
    <w:rsid w:val="00DF0B50"/>
    <w:rsid w:val="00DF108A"/>
    <w:rsid w:val="00DF1122"/>
    <w:rsid w:val="00DF12C2"/>
    <w:rsid w:val="00DF3091"/>
    <w:rsid w:val="00DF6704"/>
    <w:rsid w:val="00E0107D"/>
    <w:rsid w:val="00E01BAD"/>
    <w:rsid w:val="00E0307F"/>
    <w:rsid w:val="00E033B9"/>
    <w:rsid w:val="00E0471C"/>
    <w:rsid w:val="00E115F4"/>
    <w:rsid w:val="00E15BD0"/>
    <w:rsid w:val="00E1787D"/>
    <w:rsid w:val="00E312AA"/>
    <w:rsid w:val="00E33AC1"/>
    <w:rsid w:val="00E351A0"/>
    <w:rsid w:val="00E35FE6"/>
    <w:rsid w:val="00E36318"/>
    <w:rsid w:val="00E44B5F"/>
    <w:rsid w:val="00E46A35"/>
    <w:rsid w:val="00E47C90"/>
    <w:rsid w:val="00E5226A"/>
    <w:rsid w:val="00E53319"/>
    <w:rsid w:val="00E53508"/>
    <w:rsid w:val="00E56818"/>
    <w:rsid w:val="00E615B8"/>
    <w:rsid w:val="00E6173B"/>
    <w:rsid w:val="00E61A34"/>
    <w:rsid w:val="00E62B4A"/>
    <w:rsid w:val="00E63074"/>
    <w:rsid w:val="00E63CB7"/>
    <w:rsid w:val="00E6476D"/>
    <w:rsid w:val="00E65769"/>
    <w:rsid w:val="00E66920"/>
    <w:rsid w:val="00E76BE1"/>
    <w:rsid w:val="00E817E1"/>
    <w:rsid w:val="00E8228C"/>
    <w:rsid w:val="00E83714"/>
    <w:rsid w:val="00E8557B"/>
    <w:rsid w:val="00E855AA"/>
    <w:rsid w:val="00E91271"/>
    <w:rsid w:val="00E9213D"/>
    <w:rsid w:val="00EA0234"/>
    <w:rsid w:val="00EA1738"/>
    <w:rsid w:val="00EA3333"/>
    <w:rsid w:val="00EA62A8"/>
    <w:rsid w:val="00EA7208"/>
    <w:rsid w:val="00EB1045"/>
    <w:rsid w:val="00EB155E"/>
    <w:rsid w:val="00EB4D51"/>
    <w:rsid w:val="00EB5958"/>
    <w:rsid w:val="00EB687E"/>
    <w:rsid w:val="00EC07FC"/>
    <w:rsid w:val="00EC1B3D"/>
    <w:rsid w:val="00EC5B45"/>
    <w:rsid w:val="00EC614A"/>
    <w:rsid w:val="00ED1038"/>
    <w:rsid w:val="00ED2D47"/>
    <w:rsid w:val="00ED5498"/>
    <w:rsid w:val="00EE1B47"/>
    <w:rsid w:val="00EE5E24"/>
    <w:rsid w:val="00EE7A28"/>
    <w:rsid w:val="00EF07B8"/>
    <w:rsid w:val="00EF0C40"/>
    <w:rsid w:val="00EF0CA1"/>
    <w:rsid w:val="00EF149C"/>
    <w:rsid w:val="00EF411A"/>
    <w:rsid w:val="00EF4B30"/>
    <w:rsid w:val="00EF5445"/>
    <w:rsid w:val="00EF6941"/>
    <w:rsid w:val="00F00FC8"/>
    <w:rsid w:val="00F0356B"/>
    <w:rsid w:val="00F12C31"/>
    <w:rsid w:val="00F12E56"/>
    <w:rsid w:val="00F130AC"/>
    <w:rsid w:val="00F14392"/>
    <w:rsid w:val="00F14AA9"/>
    <w:rsid w:val="00F15DE3"/>
    <w:rsid w:val="00F16DCA"/>
    <w:rsid w:val="00F210DC"/>
    <w:rsid w:val="00F21914"/>
    <w:rsid w:val="00F22D90"/>
    <w:rsid w:val="00F259E6"/>
    <w:rsid w:val="00F27887"/>
    <w:rsid w:val="00F31693"/>
    <w:rsid w:val="00F3198B"/>
    <w:rsid w:val="00F33398"/>
    <w:rsid w:val="00F34D71"/>
    <w:rsid w:val="00F35942"/>
    <w:rsid w:val="00F35D72"/>
    <w:rsid w:val="00F35E3A"/>
    <w:rsid w:val="00F3659D"/>
    <w:rsid w:val="00F401E2"/>
    <w:rsid w:val="00F40A0A"/>
    <w:rsid w:val="00F43A04"/>
    <w:rsid w:val="00F54BE5"/>
    <w:rsid w:val="00F55A19"/>
    <w:rsid w:val="00F576B1"/>
    <w:rsid w:val="00F61D32"/>
    <w:rsid w:val="00F61D7D"/>
    <w:rsid w:val="00F627ED"/>
    <w:rsid w:val="00F635AF"/>
    <w:rsid w:val="00F63FCE"/>
    <w:rsid w:val="00F71BDC"/>
    <w:rsid w:val="00F77493"/>
    <w:rsid w:val="00F77500"/>
    <w:rsid w:val="00F8117F"/>
    <w:rsid w:val="00F836E7"/>
    <w:rsid w:val="00F84B76"/>
    <w:rsid w:val="00F85246"/>
    <w:rsid w:val="00F86361"/>
    <w:rsid w:val="00F91B78"/>
    <w:rsid w:val="00F978AE"/>
    <w:rsid w:val="00FA3564"/>
    <w:rsid w:val="00FA3C26"/>
    <w:rsid w:val="00FA3E57"/>
    <w:rsid w:val="00FA47D0"/>
    <w:rsid w:val="00FB0B50"/>
    <w:rsid w:val="00FB1CA3"/>
    <w:rsid w:val="00FB4242"/>
    <w:rsid w:val="00FB451E"/>
    <w:rsid w:val="00FB4C42"/>
    <w:rsid w:val="00FC5A3F"/>
    <w:rsid w:val="00FC6169"/>
    <w:rsid w:val="00FD32CF"/>
    <w:rsid w:val="00FD751B"/>
    <w:rsid w:val="00FE270A"/>
    <w:rsid w:val="00FE7831"/>
    <w:rsid w:val="00FE7A8B"/>
    <w:rsid w:val="00FF1AB2"/>
    <w:rsid w:val="00FF394B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D3E66"/>
  <w15:docId w15:val="{5BF4694D-52E9-44BA-ABA0-56614505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color w:val="2F356C" w:themeColor="text2" w:themeTint="E6"/>
        <w:sz w:val="24"/>
        <w:szCs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4A66AC" w:themeColor="accen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A66AC" w:themeColor="accent1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ubtitle">
    <w:name w:val="Subtitle"/>
    <w:basedOn w:val="Normal"/>
    <w:link w:val="SubtitleChar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99"/>
    <w:unhideWhenUsed/>
    <w:qFormat/>
    <w:pPr>
      <w:spacing w:after="40"/>
      <w:jc w:val="right"/>
    </w:pPr>
    <w:rPr>
      <w:b/>
      <w:color w:val="4A66AC" w:themeColor="accent1"/>
      <w:sz w:val="32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4A66AC" w:themeColor="accent1"/>
      <w:sz w:val="32"/>
    </w:rPr>
  </w:style>
  <w:style w:type="paragraph" w:styleId="BlockText">
    <w:name w:val="Block Text"/>
    <w:basedOn w:val="Normal"/>
    <w:uiPriority w:val="99"/>
    <w:unhideWhenUsed/>
    <w:qFormat/>
    <w:pPr>
      <w:spacing w:after="380" w:line="326" w:lineRule="auto"/>
    </w:pPr>
    <w:rPr>
      <w:rFonts w:eastAsiaTheme="minorEastAsia"/>
      <w:iCs/>
      <w:sz w:val="28"/>
    </w:rPr>
  </w:style>
  <w:style w:type="paragraph" w:styleId="Quote">
    <w:name w:val="Quote"/>
    <w:basedOn w:val="Normal"/>
    <w:link w:val="QuoteChar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8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8" w:space="10" w:color="2F356C" w:themeColor="text2" w:themeTint="E6"/>
        <w:bottom w:val="single" w:sz="8" w:space="10" w:color="2F356C" w:themeColor="text2" w:themeTint="E6"/>
      </w:pBdr>
      <w:spacing w:after="240" w:line="312" w:lineRule="auto"/>
      <w:jc w:val="right"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iCs/>
      <w:sz w:val="28"/>
    </w:rPr>
  </w:style>
  <w:style w:type="paragraph" w:customStyle="1" w:styleId="Recipient">
    <w:name w:val="Recipient"/>
    <w:basedOn w:val="Normal"/>
    <w:uiPriority w:val="10"/>
    <w:qFormat/>
    <w:pPr>
      <w:spacing w:before="1760" w:after="0"/>
      <w:ind w:left="2880"/>
    </w:pPr>
    <w:rPr>
      <w:b/>
    </w:rPr>
  </w:style>
  <w:style w:type="paragraph" w:customStyle="1" w:styleId="Address">
    <w:name w:val="Address"/>
    <w:basedOn w:val="Normal"/>
    <w:uiPriority w:val="10"/>
    <w:qFormat/>
    <w:pPr>
      <w:ind w:left="2880"/>
      <w:contextualSpacing/>
    </w:pPr>
  </w:style>
  <w:style w:type="paragraph" w:customStyle="1" w:styleId="ContactInfo">
    <w:name w:val="Contact Info"/>
    <w:basedOn w:val="Normal"/>
    <w:uiPriority w:val="10"/>
    <w:qFormat/>
    <w:pPr>
      <w:contextualSpacing/>
    </w:pPr>
  </w:style>
  <w:style w:type="paragraph" w:customStyle="1" w:styleId="Company">
    <w:name w:val="Company"/>
    <w:basedOn w:val="Normal"/>
    <w:uiPriority w:val="10"/>
    <w:qFormat/>
    <w:pPr>
      <w:pBdr>
        <w:top w:val="single" w:sz="24" w:space="18" w:color="2F356C" w:themeColor="text2" w:themeTint="E6"/>
      </w:pBdr>
      <w:spacing w:after="0"/>
    </w:pPr>
    <w:rPr>
      <w:b/>
      <w:color w:val="4A66AC" w:themeColor="accent1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Introduction">
    <w:name w:val="Introduction"/>
    <w:basedOn w:val="Normal"/>
    <w:link w:val="IntroductionChar"/>
    <w:uiPriority w:val="3"/>
    <w:qFormat/>
    <w:pPr>
      <w:spacing w:after="380" w:line="319" w:lineRule="auto"/>
    </w:pPr>
    <w:rPr>
      <w:sz w:val="28"/>
      <w:lang w:eastAsia="en-US"/>
    </w:rPr>
  </w:style>
  <w:style w:type="character" w:customStyle="1" w:styleId="IntroductionChar">
    <w:name w:val="Introduction Char"/>
    <w:basedOn w:val="DefaultParagraphFont"/>
    <w:link w:val="Introduction"/>
    <w:uiPriority w:val="3"/>
    <w:rPr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D06200"/>
    <w:pPr>
      <w:spacing w:after="200"/>
      <w:ind w:left="720"/>
      <w:contextualSpacing/>
    </w:pPr>
    <w:rPr>
      <w:color w:val="auto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B0D35"/>
    <w:rPr>
      <w:color w:val="9454C3" w:themeColor="hyperlink"/>
      <w:u w:val="single"/>
    </w:rPr>
  </w:style>
  <w:style w:type="paragraph" w:customStyle="1" w:styleId="bodytext1">
    <w:name w:val="bodytext1"/>
    <w:basedOn w:val="Normal"/>
    <w:rsid w:val="00E0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Pa7">
    <w:name w:val="Pa7"/>
    <w:basedOn w:val="Normal"/>
    <w:next w:val="Normal"/>
    <w:uiPriority w:val="99"/>
    <w:rsid w:val="00DB2258"/>
    <w:pPr>
      <w:autoSpaceDE w:val="0"/>
      <w:autoSpaceDN w:val="0"/>
      <w:adjustRightInd w:val="0"/>
      <w:spacing w:after="0" w:line="176" w:lineRule="atLeast"/>
    </w:pPr>
    <w:rPr>
      <w:rFonts w:ascii="CKCVYH+GothamBook" w:eastAsiaTheme="minorHAnsi" w:hAnsi="CKCVYH+GothamBook"/>
      <w:color w:val="auto"/>
      <w:lang w:eastAsia="en-US"/>
    </w:rPr>
  </w:style>
  <w:style w:type="paragraph" w:styleId="NormalWeb">
    <w:name w:val="Normal (Web)"/>
    <w:basedOn w:val="Normal"/>
    <w:uiPriority w:val="99"/>
    <w:unhideWhenUsed/>
    <w:rsid w:val="0082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5A1E"/>
    <w:rPr>
      <w:color w:val="808080"/>
      <w:shd w:val="clear" w:color="auto" w:fill="E6E6E6"/>
    </w:rPr>
  </w:style>
  <w:style w:type="character" w:customStyle="1" w:styleId="A8">
    <w:name w:val="A8"/>
    <w:uiPriority w:val="99"/>
    <w:rsid w:val="00421DCE"/>
    <w:rPr>
      <w:rFonts w:cs="Gotham SSm Book"/>
      <w:color w:val="000000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B03266"/>
    <w:rPr>
      <w:color w:val="3EBBF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5C4"/>
    <w:rPr>
      <w:rFonts w:asciiTheme="majorHAnsi" w:eastAsiaTheme="majorEastAsia" w:hAnsiTheme="majorHAnsi" w:cstheme="majorBidi"/>
      <w:i/>
      <w:iCs/>
      <w:color w:val="374C80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7329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32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642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842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443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781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185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098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9168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627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585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6359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540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58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975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1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81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567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40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059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143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0667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592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206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855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733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359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87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895">
          <w:marLeft w:val="36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5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41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85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1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hart" Target="charts/chart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014550407074165E-2"/>
          <c:y val="1.8377306614776562E-2"/>
          <c:w val="0.90977854213182618"/>
          <c:h val="0.818890808291820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'Deal activity'!$B$43</c:f>
              <c:strCache>
                <c:ptCount val="1"/>
                <c:pt idx="0">
                  <c:v>Deal value ($B)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'Deal activity'!$BC$41:$BW$42</c:f>
              <c:multiLvlStrCache>
                <c:ptCount val="21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'Deal activity'!$BC$43:$BW$43</c:f>
              <c:numCache>
                <c:formatCode>"$"#,##0.0</c:formatCode>
                <c:ptCount val="21"/>
                <c:pt idx="0">
                  <c:v>277.86243000559944</c:v>
                </c:pt>
                <c:pt idx="1">
                  <c:v>338.23348159819125</c:v>
                </c:pt>
                <c:pt idx="2">
                  <c:v>297.77985916377133</c:v>
                </c:pt>
                <c:pt idx="3">
                  <c:v>358.61029115598075</c:v>
                </c:pt>
                <c:pt idx="4">
                  <c:v>290.69902305941531</c:v>
                </c:pt>
                <c:pt idx="5">
                  <c:v>287.09055662116953</c:v>
                </c:pt>
                <c:pt idx="6">
                  <c:v>190.47599083912348</c:v>
                </c:pt>
                <c:pt idx="7">
                  <c:v>185.74340468555255</c:v>
                </c:pt>
                <c:pt idx="8">
                  <c:v>195.29886892040216</c:v>
                </c:pt>
                <c:pt idx="9">
                  <c:v>175.52384199985727</c:v>
                </c:pt>
                <c:pt idx="10">
                  <c:v>186.55564814835768</c:v>
                </c:pt>
                <c:pt idx="11">
                  <c:v>174.92739608814446</c:v>
                </c:pt>
                <c:pt idx="12">
                  <c:v>194.86868330072778</c:v>
                </c:pt>
                <c:pt idx="13">
                  <c:v>208.91461242612451</c:v>
                </c:pt>
                <c:pt idx="14">
                  <c:v>243.04877216543983</c:v>
                </c:pt>
                <c:pt idx="15">
                  <c:v>196.16495320610105</c:v>
                </c:pt>
                <c:pt idx="16">
                  <c:v>278.72852398599468</c:v>
                </c:pt>
                <c:pt idx="17">
                  <c:v>248.63158708539754</c:v>
                </c:pt>
                <c:pt idx="18">
                  <c:v>325.98633223059375</c:v>
                </c:pt>
                <c:pt idx="19">
                  <c:v>301.36028587342076</c:v>
                </c:pt>
                <c:pt idx="20">
                  <c:v>218.83537030363601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1A-48EC-B3F3-D4605D5028A9}"/>
            </c:ext>
          </c:extLst>
        </c:ser>
        <c:ser>
          <c:idx val="2"/>
          <c:order val="2"/>
          <c:tx>
            <c:strRef>
              <c:f>'Deal activity'!$B$45</c:f>
              <c:strCache>
                <c:ptCount val="1"/>
                <c:pt idx="0">
                  <c:v>Estimated deal value ($B)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'Deal activity'!$BC$41:$BW$42</c:f>
              <c:multiLvlStrCache>
                <c:ptCount val="21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'Deal activity'!$BC$45:$BW$45</c:f>
              <c:numCache>
                <c:formatCode>General</c:formatCode>
                <c:ptCount val="21"/>
                <c:pt idx="17" formatCode="&quot;$&quot;#,##0.0_);\(&quot;$&quot;#,##0.0\)">
                  <c:v>4.3526301616293734</c:v>
                </c:pt>
                <c:pt idx="18" formatCode="&quot;$&quot;#,##0.0_);\(&quot;$&quot;#,##0.0\)">
                  <c:v>10.440086736100785</c:v>
                </c:pt>
                <c:pt idx="19" formatCode="&quot;$&quot;#,##0.0_);\(&quot;$&quot;#,##0.0\)">
                  <c:v>17.216105566922334</c:v>
                </c:pt>
                <c:pt idx="20" formatCode="&quot;$&quot;#,##0.0_);\(&quot;$&quot;#,##0.0\)">
                  <c:v>41.34512923283048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1-DA1A-48EC-B3F3-D4605D502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041397376"/>
        <c:axId val="775147856"/>
        <c:extLst/>
      </c:barChart>
      <c:lineChart>
        <c:grouping val="stacked"/>
        <c:varyColors val="0"/>
        <c:ser>
          <c:idx val="1"/>
          <c:order val="1"/>
          <c:tx>
            <c:strRef>
              <c:f>'Deal activity'!$B$44</c:f>
              <c:strCache>
                <c:ptCount val="1"/>
                <c:pt idx="0">
                  <c:v>Deal count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2-DA1A-48EC-B3F3-D4605D5028A9}"/>
              </c:ext>
            </c:extLst>
          </c:dPt>
          <c:dPt>
            <c:idx val="16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DA1A-48EC-B3F3-D4605D5028A9}"/>
              </c:ext>
            </c:extLst>
          </c:dPt>
          <c:dPt>
            <c:idx val="17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DA1A-48EC-B3F3-D4605D5028A9}"/>
              </c:ext>
            </c:extLst>
          </c:dPt>
          <c:dPt>
            <c:idx val="18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5-DA1A-48EC-B3F3-D4605D5028A9}"/>
              </c:ext>
            </c:extLst>
          </c:dPt>
          <c:dPt>
            <c:idx val="19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6-DA1A-48EC-B3F3-D4605D5028A9}"/>
              </c:ext>
            </c:extLst>
          </c:dPt>
          <c:dPt>
            <c:idx val="20"/>
            <c:marker>
              <c:symbol val="none"/>
            </c:marker>
            <c:bubble3D val="0"/>
            <c:spPr>
              <a:ln w="19050" cap="rnd">
                <a:solidFill>
                  <a:schemeClr val="accent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8-DA1A-48EC-B3F3-D4605D5028A9}"/>
              </c:ext>
            </c:extLst>
          </c:dPt>
          <c:dPt>
            <c:idx val="56"/>
            <c:marker>
              <c:symbol val="none"/>
            </c:marker>
            <c:bubble3D val="0"/>
            <c:spPr>
              <a:ln w="19050" cap="rnd">
                <a:solidFill>
                  <a:schemeClr val="accent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A-DA1A-48EC-B3F3-D4605D5028A9}"/>
              </c:ext>
            </c:extLst>
          </c:dPt>
          <c:dPt>
            <c:idx val="57"/>
            <c:marker>
              <c:symbol val="none"/>
            </c:marker>
            <c:bubble3D val="0"/>
            <c:spPr>
              <a:ln w="19050" cap="rnd">
                <a:solidFill>
                  <a:schemeClr val="accent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C-DA1A-48EC-B3F3-D4605D5028A9}"/>
              </c:ext>
            </c:extLst>
          </c:dPt>
          <c:dPt>
            <c:idx val="58"/>
            <c:marker>
              <c:symbol val="none"/>
            </c:marker>
            <c:bubble3D val="0"/>
            <c:spPr>
              <a:ln w="19050" cap="rnd">
                <a:solidFill>
                  <a:schemeClr val="accent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E-DA1A-48EC-B3F3-D4605D5028A9}"/>
              </c:ext>
            </c:extLst>
          </c:dPt>
          <c:dPt>
            <c:idx val="59"/>
            <c:marker>
              <c:symbol val="none"/>
            </c:marker>
            <c:bubble3D val="0"/>
            <c:spPr>
              <a:ln w="19050" cap="rnd">
                <a:solidFill>
                  <a:schemeClr val="accent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0-DA1A-48EC-B3F3-D4605D5028A9}"/>
              </c:ext>
            </c:extLst>
          </c:dPt>
          <c:cat>
            <c:multiLvlStrRef>
              <c:f>'Deal activity'!$BC$41:$BW$42</c:f>
              <c:multiLvlStrCache>
                <c:ptCount val="21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'Deal activity'!$BC$44:$BW$44</c:f>
              <c:numCache>
                <c:formatCode>#,##0</c:formatCode>
                <c:ptCount val="21"/>
                <c:pt idx="0">
                  <c:v>2388</c:v>
                </c:pt>
                <c:pt idx="1">
                  <c:v>2316</c:v>
                </c:pt>
                <c:pt idx="2">
                  <c:v>2459</c:v>
                </c:pt>
                <c:pt idx="3">
                  <c:v>3197</c:v>
                </c:pt>
                <c:pt idx="4">
                  <c:v>2667</c:v>
                </c:pt>
                <c:pt idx="5">
                  <c:v>2269</c:v>
                </c:pt>
                <c:pt idx="6">
                  <c:v>2321</c:v>
                </c:pt>
                <c:pt idx="7">
                  <c:v>2239</c:v>
                </c:pt>
                <c:pt idx="8">
                  <c:v>2234</c:v>
                </c:pt>
                <c:pt idx="9">
                  <c:v>1995</c:v>
                </c:pt>
                <c:pt idx="10">
                  <c:v>1873</c:v>
                </c:pt>
                <c:pt idx="11">
                  <c:v>2104</c:v>
                </c:pt>
                <c:pt idx="12">
                  <c:v>2173</c:v>
                </c:pt>
                <c:pt idx="13">
                  <c:v>2073</c:v>
                </c:pt>
                <c:pt idx="14">
                  <c:v>2150</c:v>
                </c:pt>
                <c:pt idx="15">
                  <c:v>2203</c:v>
                </c:pt>
                <c:pt idx="16">
                  <c:v>2274</c:v>
                </c:pt>
                <c:pt idx="17">
                  <c:v>2131</c:v>
                </c:pt>
                <c:pt idx="18">
                  <c:v>2236</c:v>
                </c:pt>
                <c:pt idx="19">
                  <c:v>2023</c:v>
                </c:pt>
                <c:pt idx="20">
                  <c:v>1725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DA1A-48EC-B3F3-D4605D5028A9}"/>
            </c:ext>
          </c:extLst>
        </c:ser>
        <c:ser>
          <c:idx val="3"/>
          <c:order val="3"/>
          <c:tx>
            <c:strRef>
              <c:f>'Deal activity'!$B$46</c:f>
              <c:strCache>
                <c:ptCount val="1"/>
                <c:pt idx="0">
                  <c:v>Estimated deal count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noFill/>
              </a:ln>
              <a:effectLst/>
            </c:spPr>
          </c:marker>
          <c:dPt>
            <c:idx val="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2-DA1A-48EC-B3F3-D4605D5028A9}"/>
              </c:ext>
            </c:extLst>
          </c:dPt>
          <c:dPt>
            <c:idx val="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3-DA1A-48EC-B3F3-D4605D5028A9}"/>
              </c:ext>
            </c:extLst>
          </c:dPt>
          <c:dPt>
            <c:idx val="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4-DA1A-48EC-B3F3-D4605D5028A9}"/>
              </c:ext>
            </c:extLst>
          </c:dPt>
          <c:dPt>
            <c:idx val="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5-DA1A-48EC-B3F3-D4605D5028A9}"/>
              </c:ext>
            </c:extLst>
          </c:dPt>
          <c:dPt>
            <c:idx val="4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6-DA1A-48EC-B3F3-D4605D5028A9}"/>
              </c:ext>
            </c:extLst>
          </c:dPt>
          <c:dPt>
            <c:idx val="5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7-DA1A-48EC-B3F3-D4605D5028A9}"/>
              </c:ext>
            </c:extLst>
          </c:dPt>
          <c:dPt>
            <c:idx val="6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8-DA1A-48EC-B3F3-D4605D5028A9}"/>
              </c:ext>
            </c:extLst>
          </c:dPt>
          <c:dPt>
            <c:idx val="7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9-DA1A-48EC-B3F3-D4605D5028A9}"/>
              </c:ext>
            </c:extLst>
          </c:dPt>
          <c:dPt>
            <c:idx val="8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A-DA1A-48EC-B3F3-D4605D5028A9}"/>
              </c:ext>
            </c:extLst>
          </c:dPt>
          <c:dPt>
            <c:idx val="9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B-DA1A-48EC-B3F3-D4605D5028A9}"/>
              </c:ext>
            </c:extLst>
          </c:dPt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C-DA1A-48EC-B3F3-D4605D5028A9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D-DA1A-48EC-B3F3-D4605D5028A9}"/>
              </c:ext>
            </c:extLst>
          </c:dPt>
          <c:dPt>
            <c:idx val="1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E-DA1A-48EC-B3F3-D4605D5028A9}"/>
              </c:ext>
            </c:extLst>
          </c:dPt>
          <c:dPt>
            <c:idx val="1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F-DA1A-48EC-B3F3-D4605D5028A9}"/>
              </c:ext>
            </c:extLst>
          </c:dPt>
          <c:dPt>
            <c:idx val="14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20-DA1A-48EC-B3F3-D4605D5028A9}"/>
              </c:ext>
            </c:extLst>
          </c:dPt>
          <c:dPt>
            <c:idx val="15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21-DA1A-48EC-B3F3-D4605D5028A9}"/>
              </c:ext>
            </c:extLst>
          </c:dPt>
          <c:dPt>
            <c:idx val="16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22-DA1A-48EC-B3F3-D4605D5028A9}"/>
              </c:ext>
            </c:extLst>
          </c:dPt>
          <c:dPt>
            <c:idx val="17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3-DA1A-48EC-B3F3-D4605D5028A9}"/>
              </c:ext>
            </c:extLst>
          </c:dPt>
          <c:dPt>
            <c:idx val="18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4-DA1A-48EC-B3F3-D4605D5028A9}"/>
              </c:ext>
            </c:extLst>
          </c:dPt>
          <c:dPt>
            <c:idx val="19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5-DA1A-48EC-B3F3-D4605D5028A9}"/>
              </c:ext>
            </c:extLst>
          </c:dPt>
          <c:dPt>
            <c:idx val="20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6-DA1A-48EC-B3F3-D4605D5028A9}"/>
              </c:ext>
            </c:extLst>
          </c:dPt>
          <c:dPt>
            <c:idx val="63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4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7-DA1A-48EC-B3F3-D4605D5028A9}"/>
              </c:ext>
            </c:extLst>
          </c:dPt>
          <c:cat>
            <c:multiLvlStrRef>
              <c:f>'Deal activity'!$BC$41:$BW$42</c:f>
              <c:multiLvlStrCache>
                <c:ptCount val="21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'Deal activity'!$BC$46:$BW$46</c:f>
              <c:numCache>
                <c:formatCode>General</c:formatCode>
                <c:ptCount val="21"/>
                <c:pt idx="17" formatCode="0">
                  <c:v>71</c:v>
                </c:pt>
                <c:pt idx="18" formatCode="0">
                  <c:v>172</c:v>
                </c:pt>
                <c:pt idx="19" formatCode="0">
                  <c:v>281</c:v>
                </c:pt>
                <c:pt idx="20" formatCode="0">
                  <c:v>690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8-DA1A-48EC-B3F3-D4605D502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9093536"/>
        <c:axId val="1139636336"/>
      </c:lineChart>
      <c:catAx>
        <c:axId val="104139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75147856"/>
        <c:crosses val="autoZero"/>
        <c:auto val="1"/>
        <c:lblAlgn val="ctr"/>
        <c:lblOffset val="100"/>
        <c:noMultiLvlLbl val="0"/>
      </c:catAx>
      <c:valAx>
        <c:axId val="775147856"/>
        <c:scaling>
          <c:orientation val="minMax"/>
        </c:scaling>
        <c:delete val="0"/>
        <c:axPos val="l"/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41397376"/>
        <c:crosses val="autoZero"/>
        <c:crossBetween val="between"/>
      </c:valAx>
      <c:valAx>
        <c:axId val="1139636336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49093536"/>
        <c:crosses val="max"/>
        <c:crossBetween val="between"/>
      </c:valAx>
      <c:catAx>
        <c:axId val="1049093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396363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19455562436717883"/>
          <c:y val="4.1495327102803722E-2"/>
          <c:w val="0.75071396974254623"/>
          <c:h val="5.75700934579439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5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0145392593309091E-2"/>
          <c:y val="1.9648321161927294E-2"/>
          <c:w val="0.92655406413498798"/>
          <c:h val="0.774903575474747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'Exit activity'!$B$40</c:f>
              <c:strCache>
                <c:ptCount val="1"/>
                <c:pt idx="0">
                  <c:v>Exit value ($B)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'Exit activity'!$AM$38:$BG$39</c:f>
              <c:multiLvlStrCache>
                <c:ptCount val="21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'Exit activity'!$AM$40:$BG$40</c:f>
              <c:numCache>
                <c:formatCode>"$"#,##0.0</c:formatCode>
                <c:ptCount val="21"/>
                <c:pt idx="0">
                  <c:v>165.47522170580601</c:v>
                </c:pt>
                <c:pt idx="1">
                  <c:v>268.25943351778255</c:v>
                </c:pt>
                <c:pt idx="2">
                  <c:v>229.35539130548881</c:v>
                </c:pt>
                <c:pt idx="3">
                  <c:v>173.24478932781892</c:v>
                </c:pt>
                <c:pt idx="4">
                  <c:v>88.894014394943767</c:v>
                </c:pt>
                <c:pt idx="5">
                  <c:v>86.628822695124086</c:v>
                </c:pt>
                <c:pt idx="6">
                  <c:v>79.140279930277742</c:v>
                </c:pt>
                <c:pt idx="7">
                  <c:v>56.64688621604293</c:v>
                </c:pt>
                <c:pt idx="8">
                  <c:v>65.505536900713139</c:v>
                </c:pt>
                <c:pt idx="9">
                  <c:v>82.951547531242824</c:v>
                </c:pt>
                <c:pt idx="10">
                  <c:v>57.096588540788353</c:v>
                </c:pt>
                <c:pt idx="11">
                  <c:v>78.907988162679104</c:v>
                </c:pt>
                <c:pt idx="12">
                  <c:v>94.44278984099023</c:v>
                </c:pt>
                <c:pt idx="13">
                  <c:v>69.50421434616743</c:v>
                </c:pt>
                <c:pt idx="14">
                  <c:v>105.71588345650187</c:v>
                </c:pt>
                <c:pt idx="15">
                  <c:v>112.62470723801982</c:v>
                </c:pt>
                <c:pt idx="16">
                  <c:v>221.66380948326702</c:v>
                </c:pt>
                <c:pt idx="17">
                  <c:v>146.92517892238209</c:v>
                </c:pt>
                <c:pt idx="18">
                  <c:v>105.05205955604794</c:v>
                </c:pt>
                <c:pt idx="19">
                  <c:v>202.08598500783057</c:v>
                </c:pt>
                <c:pt idx="20">
                  <c:v>131.34545435698521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18-4D6C-BB3E-C82935EA4DE8}"/>
            </c:ext>
          </c:extLst>
        </c:ser>
        <c:ser>
          <c:idx val="3"/>
          <c:order val="2"/>
          <c:tx>
            <c:strRef>
              <c:f>'Exit activity'!$B$42</c:f>
              <c:strCache>
                <c:ptCount val="1"/>
                <c:pt idx="0">
                  <c:v>Estimated exit value ($B)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</c:spPr>
          <c:invertIfNegative val="0"/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2118-4D6C-BB3E-C82935EA4DE8}"/>
              </c:ext>
            </c:extLst>
          </c:dPt>
          <c:cat>
            <c:multiLvlStrRef>
              <c:f>'Exit activity'!$AM$38:$BG$39</c:f>
              <c:multiLvlStrCache>
                <c:ptCount val="21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'Exit activity'!$AM$42:$BG$42</c:f>
              <c:numCache>
                <c:formatCode>General</c:formatCode>
                <c:ptCount val="21"/>
                <c:pt idx="17" formatCode="&quot;$&quot;#,##0.0">
                  <c:v>1.7013953392767041</c:v>
                </c:pt>
                <c:pt idx="18" formatCode="&quot;$&quot;#,##0.0">
                  <c:v>8.8351791540545754</c:v>
                </c:pt>
                <c:pt idx="19" formatCode="&quot;$&quot;#,##0.0">
                  <c:v>12.420589251097855</c:v>
                </c:pt>
                <c:pt idx="20" formatCode="&quot;$&quot;#,##0.0">
                  <c:v>13.097656328339502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2-2118-4D6C-BB3E-C82935EA4D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-1173234112"/>
        <c:axId val="-1173238464"/>
        <c:extLst/>
      </c:barChart>
      <c:lineChart>
        <c:grouping val="stacked"/>
        <c:varyColors val="0"/>
        <c:ser>
          <c:idx val="1"/>
          <c:order val="1"/>
          <c:tx>
            <c:strRef>
              <c:f>'Exit activity'!$B$41</c:f>
              <c:strCache>
                <c:ptCount val="1"/>
                <c:pt idx="0">
                  <c:v>Exit count</c:v>
                </c:pt>
              </c:strCache>
            </c:strRef>
          </c:tx>
          <c:spPr>
            <a:ln w="19050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cat>
            <c:multiLvlStrRef>
              <c:f>'Exit activity'!$AM$38:$BG$39</c:f>
              <c:multiLvlStrCache>
                <c:ptCount val="21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'Exit activity'!$AM$41:$BG$41</c:f>
              <c:numCache>
                <c:formatCode>General</c:formatCode>
                <c:ptCount val="21"/>
                <c:pt idx="0">
                  <c:v>434</c:v>
                </c:pt>
                <c:pt idx="1">
                  <c:v>448</c:v>
                </c:pt>
                <c:pt idx="2">
                  <c:v>454</c:v>
                </c:pt>
                <c:pt idx="3">
                  <c:v>621</c:v>
                </c:pt>
                <c:pt idx="4">
                  <c:v>393</c:v>
                </c:pt>
                <c:pt idx="5">
                  <c:v>353</c:v>
                </c:pt>
                <c:pt idx="6">
                  <c:v>368</c:v>
                </c:pt>
                <c:pt idx="7">
                  <c:v>343</c:v>
                </c:pt>
                <c:pt idx="8">
                  <c:v>358</c:v>
                </c:pt>
                <c:pt idx="9">
                  <c:v>314</c:v>
                </c:pt>
                <c:pt idx="10">
                  <c:v>333</c:v>
                </c:pt>
                <c:pt idx="11">
                  <c:v>329</c:v>
                </c:pt>
                <c:pt idx="12">
                  <c:v>355</c:v>
                </c:pt>
                <c:pt idx="13">
                  <c:v>286</c:v>
                </c:pt>
                <c:pt idx="14">
                  <c:v>397</c:v>
                </c:pt>
                <c:pt idx="15">
                  <c:v>357</c:v>
                </c:pt>
                <c:pt idx="16">
                  <c:v>363</c:v>
                </c:pt>
                <c:pt idx="17">
                  <c:v>307</c:v>
                </c:pt>
                <c:pt idx="18">
                  <c:v>330</c:v>
                </c:pt>
                <c:pt idx="19">
                  <c:v>331</c:v>
                </c:pt>
                <c:pt idx="20">
                  <c:v>259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118-4D6C-BB3E-C82935EA4DE8}"/>
            </c:ext>
          </c:extLst>
        </c:ser>
        <c:ser>
          <c:idx val="2"/>
          <c:order val="3"/>
          <c:tx>
            <c:strRef>
              <c:f>'Exit activity'!$B$43</c:f>
              <c:strCache>
                <c:ptCount val="1"/>
                <c:pt idx="0">
                  <c:v>Estimated exit count</c:v>
                </c:pt>
              </c:strCache>
            </c:strRef>
          </c:tx>
          <c:spPr>
            <a:ln>
              <a:noFill/>
            </a:ln>
          </c:spPr>
          <c:marker>
            <c:symbol val="circle"/>
            <c:size val="5"/>
            <c:spPr>
              <a:solidFill>
                <a:schemeClr val="accent5"/>
              </a:solidFill>
              <a:ln>
                <a:solidFill>
                  <a:schemeClr val="accent5"/>
                </a:solidFill>
              </a:ln>
            </c:spPr>
          </c:marker>
          <c:dPt>
            <c:idx val="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2118-4D6C-BB3E-C82935EA4DE8}"/>
              </c:ext>
            </c:extLst>
          </c:dPt>
          <c:dPt>
            <c:idx val="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5-2118-4D6C-BB3E-C82935EA4DE8}"/>
              </c:ext>
            </c:extLst>
          </c:dPt>
          <c:dPt>
            <c:idx val="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6-2118-4D6C-BB3E-C82935EA4DE8}"/>
              </c:ext>
            </c:extLst>
          </c:dPt>
          <c:dPt>
            <c:idx val="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7-2118-4D6C-BB3E-C82935EA4DE8}"/>
              </c:ext>
            </c:extLst>
          </c:dPt>
          <c:dPt>
            <c:idx val="4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8-2118-4D6C-BB3E-C82935EA4DE8}"/>
              </c:ext>
            </c:extLst>
          </c:dPt>
          <c:dPt>
            <c:idx val="5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9-2118-4D6C-BB3E-C82935EA4DE8}"/>
              </c:ext>
            </c:extLst>
          </c:dPt>
          <c:dPt>
            <c:idx val="6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A-2118-4D6C-BB3E-C82935EA4DE8}"/>
              </c:ext>
            </c:extLst>
          </c:dPt>
          <c:dPt>
            <c:idx val="7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B-2118-4D6C-BB3E-C82935EA4DE8}"/>
              </c:ext>
            </c:extLst>
          </c:dPt>
          <c:dPt>
            <c:idx val="8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C-2118-4D6C-BB3E-C82935EA4DE8}"/>
              </c:ext>
            </c:extLst>
          </c:dPt>
          <c:dPt>
            <c:idx val="9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D-2118-4D6C-BB3E-C82935EA4DE8}"/>
              </c:ext>
            </c:extLst>
          </c:dPt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E-2118-4D6C-BB3E-C82935EA4DE8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F-2118-4D6C-BB3E-C82935EA4DE8}"/>
              </c:ext>
            </c:extLst>
          </c:dPt>
          <c:dPt>
            <c:idx val="1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0-2118-4D6C-BB3E-C82935EA4DE8}"/>
              </c:ext>
            </c:extLst>
          </c:dPt>
          <c:dPt>
            <c:idx val="1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1-2118-4D6C-BB3E-C82935EA4DE8}"/>
              </c:ext>
            </c:extLst>
          </c:dPt>
          <c:dPt>
            <c:idx val="14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2-2118-4D6C-BB3E-C82935EA4DE8}"/>
              </c:ext>
            </c:extLst>
          </c:dPt>
          <c:dPt>
            <c:idx val="15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3-2118-4D6C-BB3E-C82935EA4DE8}"/>
              </c:ext>
            </c:extLst>
          </c:dPt>
          <c:dPt>
            <c:idx val="16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4-2118-4D6C-BB3E-C82935EA4DE8}"/>
              </c:ext>
            </c:extLst>
          </c:dPt>
          <c:dPt>
            <c:idx val="17"/>
            <c:marker>
              <c:spPr>
                <a:solidFill>
                  <a:schemeClr val="accent5"/>
                </a:solidFill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5-2118-4D6C-BB3E-C82935EA4DE8}"/>
              </c:ext>
            </c:extLst>
          </c:dPt>
          <c:dPt>
            <c:idx val="18"/>
            <c:marker>
              <c:spPr>
                <a:solidFill>
                  <a:schemeClr val="accent5"/>
                </a:solidFill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6-2118-4D6C-BB3E-C82935EA4DE8}"/>
              </c:ext>
            </c:extLst>
          </c:dPt>
          <c:dPt>
            <c:idx val="19"/>
            <c:marker>
              <c:spPr>
                <a:solidFill>
                  <a:schemeClr val="accent5"/>
                </a:solidFill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7-2118-4D6C-BB3E-C82935EA4DE8}"/>
              </c:ext>
            </c:extLst>
          </c:dPt>
          <c:dPt>
            <c:idx val="4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8-2118-4D6C-BB3E-C82935EA4DE8}"/>
              </c:ext>
            </c:extLst>
          </c:dPt>
          <c:dPt>
            <c:idx val="46"/>
            <c:marker>
              <c:spPr>
                <a:solidFill>
                  <a:schemeClr val="accent5"/>
                </a:solidFill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9-2118-4D6C-BB3E-C82935EA4DE8}"/>
              </c:ext>
            </c:extLst>
          </c:dPt>
          <c:dPt>
            <c:idx val="47"/>
            <c:marker>
              <c:spPr>
                <a:solidFill>
                  <a:schemeClr val="accent5"/>
                </a:solidFill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A-2118-4D6C-BB3E-C82935EA4DE8}"/>
              </c:ext>
            </c:extLst>
          </c:dPt>
          <c:dPt>
            <c:idx val="56"/>
            <c:bubble3D val="0"/>
            <c:extLst>
              <c:ext xmlns:c16="http://schemas.microsoft.com/office/drawing/2014/chart" uri="{C3380CC4-5D6E-409C-BE32-E72D297353CC}">
                <c16:uniqueId val="{0000001B-2118-4D6C-BB3E-C82935EA4DE8}"/>
              </c:ext>
            </c:extLst>
          </c:dPt>
          <c:dPt>
            <c:idx val="57"/>
            <c:bubble3D val="0"/>
            <c:extLst>
              <c:ext xmlns:c16="http://schemas.microsoft.com/office/drawing/2014/chart" uri="{C3380CC4-5D6E-409C-BE32-E72D297353CC}">
                <c16:uniqueId val="{0000001C-2118-4D6C-BB3E-C82935EA4DE8}"/>
              </c:ext>
            </c:extLst>
          </c:dPt>
          <c:dPt>
            <c:idx val="58"/>
            <c:bubble3D val="0"/>
            <c:extLst>
              <c:ext xmlns:c16="http://schemas.microsoft.com/office/drawing/2014/chart" uri="{C3380CC4-5D6E-409C-BE32-E72D297353CC}">
                <c16:uniqueId val="{0000001D-2118-4D6C-BB3E-C82935EA4DE8}"/>
              </c:ext>
            </c:extLst>
          </c:dPt>
          <c:dPt>
            <c:idx val="59"/>
            <c:bubble3D val="0"/>
            <c:extLst>
              <c:ext xmlns:c16="http://schemas.microsoft.com/office/drawing/2014/chart" uri="{C3380CC4-5D6E-409C-BE32-E72D297353CC}">
                <c16:uniqueId val="{0000001E-2118-4D6C-BB3E-C82935EA4DE8}"/>
              </c:ext>
            </c:extLst>
          </c:dPt>
          <c:dPt>
            <c:idx val="60"/>
            <c:bubble3D val="0"/>
            <c:extLst>
              <c:ext xmlns:c16="http://schemas.microsoft.com/office/drawing/2014/chart" uri="{C3380CC4-5D6E-409C-BE32-E72D297353CC}">
                <c16:uniqueId val="{0000001F-2118-4D6C-BB3E-C82935EA4DE8}"/>
              </c:ext>
            </c:extLst>
          </c:dPt>
          <c:dPt>
            <c:idx val="61"/>
            <c:bubble3D val="0"/>
            <c:extLst>
              <c:ext xmlns:c16="http://schemas.microsoft.com/office/drawing/2014/chart" uri="{C3380CC4-5D6E-409C-BE32-E72D297353CC}">
                <c16:uniqueId val="{00000020-2118-4D6C-BB3E-C82935EA4DE8}"/>
              </c:ext>
            </c:extLst>
          </c:dPt>
          <c:dPt>
            <c:idx val="62"/>
            <c:bubble3D val="0"/>
            <c:extLst>
              <c:ext xmlns:c16="http://schemas.microsoft.com/office/drawing/2014/chart" uri="{C3380CC4-5D6E-409C-BE32-E72D297353CC}">
                <c16:uniqueId val="{00000021-2118-4D6C-BB3E-C82935EA4DE8}"/>
              </c:ext>
            </c:extLst>
          </c:dPt>
          <c:dPt>
            <c:idx val="63"/>
            <c:bubble3D val="0"/>
            <c:extLst>
              <c:ext xmlns:c16="http://schemas.microsoft.com/office/drawing/2014/chart" uri="{C3380CC4-5D6E-409C-BE32-E72D297353CC}">
                <c16:uniqueId val="{00000022-2118-4D6C-BB3E-C82935EA4DE8}"/>
              </c:ext>
            </c:extLst>
          </c:dPt>
          <c:dPt>
            <c:idx val="64"/>
            <c:bubble3D val="0"/>
            <c:extLst>
              <c:ext xmlns:c16="http://schemas.microsoft.com/office/drawing/2014/chart" uri="{C3380CC4-5D6E-409C-BE32-E72D297353CC}">
                <c16:uniqueId val="{00000023-2118-4D6C-BB3E-C82935EA4DE8}"/>
              </c:ext>
            </c:extLst>
          </c:dPt>
          <c:cat>
            <c:multiLvlStrRef>
              <c:f>'Exit activity'!$AM$38:$BG$39</c:f>
              <c:multiLvlStrCache>
                <c:ptCount val="21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  <c:pt idx="16">
                    <c:v>2025</c:v>
                  </c:pt>
                  <c:pt idx="20">
                    <c:v>2026</c:v>
                  </c:pt>
                </c:lvl>
              </c:multiLvlStrCache>
            </c:multiLvlStrRef>
          </c:cat>
          <c:val>
            <c:numRef>
              <c:f>'Exit activity'!$AM$43:$BG$43</c:f>
              <c:numCache>
                <c:formatCode>General</c:formatCode>
                <c:ptCount val="21"/>
                <c:pt idx="17" formatCode="0">
                  <c:v>16</c:v>
                </c:pt>
                <c:pt idx="18" formatCode="0">
                  <c:v>81</c:v>
                </c:pt>
                <c:pt idx="19" formatCode="0">
                  <c:v>117</c:v>
                </c:pt>
                <c:pt idx="20" formatCode="0">
                  <c:v>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4-2118-4D6C-BB3E-C82935EA4D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3244448"/>
        <c:axId val="-1173248256"/>
      </c:lineChart>
      <c:catAx>
        <c:axId val="-1173234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 algn="ctr" rtl="0">
              <a:defRPr/>
            </a:pPr>
            <a:endParaRPr lang="en-US"/>
          </a:p>
        </c:txPr>
        <c:crossAx val="-1173238464"/>
        <c:crosses val="autoZero"/>
        <c:auto val="1"/>
        <c:lblAlgn val="ctr"/>
        <c:lblOffset val="100"/>
        <c:noMultiLvlLbl val="0"/>
      </c:catAx>
      <c:valAx>
        <c:axId val="-1173238464"/>
        <c:scaling>
          <c:orientation val="minMax"/>
          <c:min val="0"/>
        </c:scaling>
        <c:delete val="0"/>
        <c:axPos val="l"/>
        <c:numFmt formatCode="&quot;$&quot;#,##0" sourceLinked="0"/>
        <c:majorTickMark val="out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 algn="ctr" rtl="0">
              <a:defRPr/>
            </a:pPr>
            <a:endParaRPr lang="en-US"/>
          </a:p>
        </c:txPr>
        <c:crossAx val="-1173234112"/>
        <c:crosses val="autoZero"/>
        <c:crossBetween val="between"/>
      </c:valAx>
      <c:valAx>
        <c:axId val="-1173248256"/>
        <c:scaling>
          <c:orientation val="minMax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 algn="ctr" rtl="0">
              <a:defRPr/>
            </a:pPr>
            <a:endParaRPr lang="en-US"/>
          </a:p>
        </c:txPr>
        <c:crossAx val="-1173244448"/>
        <c:crosses val="max"/>
        <c:crossBetween val="between"/>
      </c:valAx>
      <c:catAx>
        <c:axId val="-117324444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-1173248256"/>
        <c:crosses val="max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521214623452967"/>
          <c:y val="1.3966908179466157E-3"/>
          <c:w val="0.69227854945098155"/>
          <c:h val="7.2298293828931562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 algn="ctr" rtl="0">
            <a:defRPr/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sz="850" b="0" i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B Colors 2024">
    <a:dk1>
      <a:srgbClr val="000000"/>
    </a:dk1>
    <a:lt1>
      <a:srgbClr val="FFFFFF"/>
    </a:lt1>
    <a:dk2>
      <a:srgbClr val="44546A"/>
    </a:dk2>
    <a:lt2>
      <a:srgbClr val="E7E6E6"/>
    </a:lt2>
    <a:accent1>
      <a:srgbClr val="1C5080"/>
    </a:accent1>
    <a:accent2>
      <a:srgbClr val="6185A6"/>
    </a:accent2>
    <a:accent3>
      <a:srgbClr val="40C2C9"/>
    </a:accent3>
    <a:accent4>
      <a:srgbClr val="C3EDEB"/>
    </a:accent4>
    <a:accent5>
      <a:srgbClr val="F5C914"/>
    </a:accent5>
    <a:accent6>
      <a:srgbClr val="FAF56B"/>
    </a:accent6>
    <a:hlink>
      <a:srgbClr val="0563C1"/>
    </a:hlink>
    <a:folHlink>
      <a:srgbClr val="954F72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B Colors 2024">
    <a:dk1>
      <a:srgbClr val="000000"/>
    </a:dk1>
    <a:lt1>
      <a:srgbClr val="FFFFFF"/>
    </a:lt1>
    <a:dk2>
      <a:srgbClr val="44546A"/>
    </a:dk2>
    <a:lt2>
      <a:srgbClr val="E7E6E6"/>
    </a:lt2>
    <a:accent1>
      <a:srgbClr val="1C5080"/>
    </a:accent1>
    <a:accent2>
      <a:srgbClr val="6185A6"/>
    </a:accent2>
    <a:accent3>
      <a:srgbClr val="40C2C9"/>
    </a:accent3>
    <a:accent4>
      <a:srgbClr val="C3EDEB"/>
    </a:accent4>
    <a:accent5>
      <a:srgbClr val="F5C914"/>
    </a:accent5>
    <a:accent6>
      <a:srgbClr val="FAF56B"/>
    </a:accent6>
    <a:hlink>
      <a:srgbClr val="0563C1"/>
    </a:hlink>
    <a:folHlink>
      <a:srgbClr val="954F72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3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705A20-D941-47A6-983B-5479B85976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524</Words>
  <Characters>2609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Xie</dc:creator>
  <cp:lastModifiedBy>David Bonrouhi</cp:lastModifiedBy>
  <cp:revision>5</cp:revision>
  <cp:lastPrinted>2025-01-19T20:04:00Z</cp:lastPrinted>
  <dcterms:created xsi:type="dcterms:W3CDTF">2026-06-09T20:37:00Z</dcterms:created>
  <dcterms:modified xsi:type="dcterms:W3CDTF">2026-06-10T21:08:00Z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226a3654-a434-4e00-940f-10ffca04c7fd</vt:lpwstr>
  </property>
  <property fmtid="{D5CDD505-2E9C-101B-9397-08002B2CF9AE}" pid="3" name="ContentTypeId">
    <vt:lpwstr>0x010100012E2E405031D74DB051ADDB3D34E572</vt:lpwstr>
  </property>
  <property fmtid="{D5CDD505-2E9C-101B-9397-08002B2CF9AE}" pid="4" name="AssetID">
    <vt:lpwstr>TF10002064</vt:lpwstr>
  </property>
</Properties>
</file>